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DF2D" w14:textId="0AF285A1" w:rsidR="00EB7421" w:rsidRPr="00AC3CD2" w:rsidRDefault="00EB7421" w:rsidP="00EB7421">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#119</w:t>
      </w:r>
      <w:r>
        <w:rPr>
          <w:rFonts w:eastAsiaTheme="minorHAnsi" w:cs="Arial"/>
          <w:b/>
          <w:bCs/>
          <w:sz w:val="24"/>
          <w:szCs w:val="24"/>
          <w:lang w:val="en-US"/>
        </w:rPr>
        <w:t>bis</w:t>
      </w:r>
      <w:r w:rsidRPr="00AC3CD2">
        <w:rPr>
          <w:rFonts w:eastAsiaTheme="minorHAnsi" w:cs="Arial"/>
          <w:b/>
          <w:bCs/>
          <w:sz w:val="24"/>
          <w:szCs w:val="24"/>
          <w:lang w:val="en-US"/>
        </w:rPr>
        <w:t>-e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752CBD">
        <w:rPr>
          <w:rFonts w:eastAsiaTheme="minorHAnsi" w:cs="Arial"/>
          <w:b/>
          <w:bCs/>
          <w:sz w:val="24"/>
          <w:szCs w:val="24"/>
          <w:lang w:val="en-US"/>
        </w:rPr>
        <w:t>1019</w:t>
      </w:r>
      <w:r w:rsidR="00777534">
        <w:rPr>
          <w:rFonts w:eastAsiaTheme="minorHAnsi" w:cs="Arial"/>
          <w:b/>
          <w:bCs/>
          <w:sz w:val="24"/>
          <w:szCs w:val="24"/>
          <w:lang w:val="en-US"/>
        </w:rPr>
        <w:t>3</w:t>
      </w:r>
    </w:p>
    <w:p w14:paraId="4A19939E" w14:textId="77777777" w:rsidR="00EB7421" w:rsidRPr="00AC3CD2" w:rsidRDefault="00EB7421" w:rsidP="00EB7421">
      <w:pPr>
        <w:pStyle w:val="CRCoverPage"/>
        <w:tabs>
          <w:tab w:val="left" w:pos="1980"/>
        </w:tabs>
        <w:spacing w:line="259" w:lineRule="auto"/>
        <w:jc w:val="both"/>
        <w:rPr>
          <w:rFonts w:eastAsiaTheme="minorEastAsia" w:cs="Arial"/>
          <w:b/>
          <w:bCs/>
          <w:sz w:val="24"/>
          <w:szCs w:val="22"/>
          <w:lang w:val="en-US" w:eastAsia="ko-KR"/>
        </w:rPr>
      </w:pPr>
      <w:r w:rsidRPr="00AC3CD2">
        <w:rPr>
          <w:rFonts w:eastAsiaTheme="minorEastAsia" w:cs="Arial"/>
          <w:b/>
          <w:bCs/>
          <w:sz w:val="24"/>
          <w:szCs w:val="22"/>
          <w:lang w:val="en-US" w:eastAsia="ko-KR"/>
        </w:rPr>
        <w:t>Online</w:t>
      </w:r>
      <w:r w:rsidRPr="00AC3CD2">
        <w:rPr>
          <w:rFonts w:eastAsiaTheme="minorEastAsia" w:cs="Arial"/>
          <w:b/>
          <w:bCs/>
          <w:sz w:val="24"/>
          <w:szCs w:val="24"/>
          <w:lang w:val="en-US" w:eastAsia="ko-KR"/>
        </w:rPr>
        <w:t>, 1</w:t>
      </w:r>
      <w:r>
        <w:rPr>
          <w:rFonts w:eastAsiaTheme="minorEastAsia" w:cs="Arial"/>
          <w:b/>
          <w:bCs/>
          <w:sz w:val="24"/>
          <w:szCs w:val="24"/>
          <w:lang w:val="en-US" w:eastAsia="ko-KR"/>
        </w:rPr>
        <w:t>0</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19</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October</w:t>
      </w:r>
      <w:r w:rsidRPr="00AC3CD2">
        <w:rPr>
          <w:rFonts w:eastAsiaTheme="minorEastAsia" w:cs="Arial"/>
          <w:b/>
          <w:bCs/>
          <w:sz w:val="24"/>
          <w:szCs w:val="24"/>
          <w:lang w:val="en-US" w:eastAsia="ko-KR"/>
        </w:rPr>
        <w:t>, 2022</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77777777"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Pr>
          <w:rFonts w:cs="Arial"/>
          <w:b/>
          <w:bCs/>
          <w:sz w:val="24"/>
          <w:szCs w:val="24"/>
          <w:lang w:val="en-US"/>
        </w:rPr>
        <w:t>8.4.2.2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21438558"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091853">
        <w:rPr>
          <w:rFonts w:ascii="Arial" w:hAnsi="Arial" w:cs="Arial"/>
          <w:b/>
          <w:bCs/>
          <w:sz w:val="24"/>
          <w:szCs w:val="24"/>
        </w:rPr>
        <w:t xml:space="preserve">RRC </w:t>
      </w:r>
      <w:r>
        <w:rPr>
          <w:rFonts w:ascii="Arial" w:hAnsi="Arial" w:cs="Arial"/>
          <w:b/>
          <w:bCs/>
          <w:sz w:val="24"/>
          <w:szCs w:val="24"/>
        </w:rPr>
        <w:t xml:space="preserve">Support for L1/2 </w:t>
      </w:r>
      <w:r w:rsidR="00091853">
        <w:rPr>
          <w:rFonts w:ascii="Arial" w:hAnsi="Arial" w:cs="Arial"/>
          <w:b/>
          <w:bCs/>
          <w:sz w:val="24"/>
          <w:szCs w:val="24"/>
        </w:rPr>
        <w:t>T</w:t>
      </w:r>
      <w:r>
        <w:rPr>
          <w:rFonts w:ascii="Arial" w:hAnsi="Arial" w:cs="Arial"/>
          <w:b/>
          <w:bCs/>
          <w:sz w:val="24"/>
          <w:szCs w:val="24"/>
        </w:rPr>
        <w:t xml:space="preserve">riggered </w:t>
      </w:r>
      <w:r w:rsidR="00091853">
        <w:rPr>
          <w:rFonts w:ascii="Arial" w:hAnsi="Arial" w:cs="Arial"/>
          <w:b/>
          <w:bCs/>
          <w:sz w:val="24"/>
          <w:szCs w:val="24"/>
        </w:rPr>
        <w:t>H</w:t>
      </w:r>
      <w:r>
        <w:rPr>
          <w:rFonts w:ascii="Arial" w:hAnsi="Arial" w:cs="Arial"/>
          <w:b/>
          <w:bCs/>
          <w:sz w:val="24"/>
          <w:szCs w:val="24"/>
        </w:rPr>
        <w:t>andover.</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Standalone, CA and NR-DC case with serving cell change within one CG</w:t>
            </w:r>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non-synchronized</w:t>
            </w:r>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60428D61" w14:textId="77777777" w:rsidR="00EB7421" w:rsidRDefault="00EB7421" w:rsidP="00EB7421">
      <w:pPr>
        <w:jc w:val="both"/>
        <w:rPr>
          <w:lang w:val="en-US"/>
        </w:rPr>
      </w:pPr>
      <w:r>
        <w:rPr>
          <w:lang w:val="en-US"/>
        </w:rPr>
        <w:t>In the previous meeting, the following agreements were made. Those which are relevant to this discussion paper are highlighted.</w:t>
      </w:r>
    </w:p>
    <w:p w14:paraId="7436B7F3"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6D7C4C10" w14:textId="77777777" w:rsidTr="00552B47">
        <w:tc>
          <w:tcPr>
            <w:tcW w:w="9629" w:type="dxa"/>
          </w:tcPr>
          <w:p w14:paraId="723BCCD3" w14:textId="77777777" w:rsidR="00EB7421" w:rsidRPr="003F3BBB" w:rsidRDefault="00EB7421" w:rsidP="00552B47">
            <w:pPr>
              <w:pStyle w:val="Agreement"/>
            </w:pPr>
            <w:r>
              <w:t>Assumption: HO interruption time</w:t>
            </w:r>
            <w:r w:rsidRPr="003F3BBB">
              <w:t xml:space="preserve"> for L1/L2-based inter-cell mobility is the time from UE receives the cell switch command to UE performs the first DL/UL reception/transmission on the indicated beam of the target cell. FFS if TRS tracking after HO and CSI RS measurement should also be included</w:t>
            </w:r>
            <w:r>
              <w:t>, i.e. the time to use a high-performance beam</w:t>
            </w:r>
            <w:r w:rsidRPr="003F3BBB">
              <w:t xml:space="preserve"> (can be clarified further).</w:t>
            </w:r>
          </w:p>
          <w:p w14:paraId="7B2DBC0D" w14:textId="77777777" w:rsidR="00EB7421" w:rsidRPr="003F3BBB" w:rsidRDefault="00EB7421" w:rsidP="00552B47">
            <w:pPr>
              <w:pStyle w:val="Agreement"/>
            </w:pPr>
            <w:r w:rsidRPr="003F3BBB">
              <w:t xml:space="preserve">Assumption: To reduce </w:t>
            </w:r>
            <w:r>
              <w:t>HO interruption time</w:t>
            </w:r>
            <w:r w:rsidRPr="003F3BBB">
              <w:t>, investigate e.g. solutions to reduce the time for UE reconfiguration (already in the WID), downlink and uplink synchronization after handover decision (other parts of dynamic switch not precluded).</w:t>
            </w:r>
          </w:p>
          <w:p w14:paraId="2494333D" w14:textId="77777777" w:rsidR="00EB7421" w:rsidRPr="00E50574" w:rsidRDefault="00EB7421" w:rsidP="00552B47">
            <w:pPr>
              <w:pStyle w:val="Agreement"/>
              <w:rPr>
                <w:highlight w:val="yellow"/>
              </w:rPr>
            </w:pPr>
            <w:r w:rsidRPr="00E50574">
              <w:rPr>
                <w:highlight w:val="yellow"/>
              </w:rPr>
              <w:t xml:space="preserve">Confirm to Support L1/L2-based inter-cell mobility for inter-DU scenario (as well as intra-DU scenarios).  </w:t>
            </w:r>
          </w:p>
          <w:p w14:paraId="647E7004" w14:textId="77777777" w:rsidR="00EB7421" w:rsidRPr="00E50574" w:rsidRDefault="00EB7421" w:rsidP="00552B47">
            <w:pPr>
              <w:pStyle w:val="Agreement"/>
              <w:rPr>
                <w:highlight w:val="yellow"/>
              </w:rPr>
            </w:pPr>
            <w:r w:rsidRPr="00E50574">
              <w:rPr>
                <w:highlight w:val="yellow"/>
              </w:rPr>
              <w:t>The design for intra-DU and inter-DU L1/L2-based mobility should share as much commonality as reasonable. FFS which aspects need to be different.</w:t>
            </w:r>
          </w:p>
          <w:p w14:paraId="619C46E2" w14:textId="77777777" w:rsidR="00EB7421" w:rsidRPr="00E50574" w:rsidRDefault="00EB7421" w:rsidP="00552B47">
            <w:pPr>
              <w:pStyle w:val="Agreement"/>
              <w:rPr>
                <w:highlight w:val="yellow"/>
              </w:rPr>
            </w:pPr>
            <w:r w:rsidRPr="00E50574">
              <w:rPr>
                <w:highlight w:val="yellow"/>
              </w:rPr>
              <w:t>R2 assumes that L2 is continued whenever possible (e.g. intra-DU), without Reset, with the target to avoid data loss, and the additional delay of data recovery.</w:t>
            </w:r>
          </w:p>
          <w:p w14:paraId="4358287D" w14:textId="77777777" w:rsidR="00EB7421" w:rsidRDefault="00EB7421" w:rsidP="00552B47">
            <w:pPr>
              <w:pStyle w:val="Agreement"/>
            </w:pPr>
            <w:r>
              <w:t>ICBM is one scenario considered for L1L2 mobility, but is not the only one, and is not a prerequisite for using L1L2 mobility.</w:t>
            </w:r>
          </w:p>
          <w:p w14:paraId="28161BD4" w14:textId="77777777" w:rsidR="00EB7421" w:rsidRPr="00E50574" w:rsidRDefault="00EB7421" w:rsidP="00552B47">
            <w:pPr>
              <w:pStyle w:val="Agreement"/>
              <w:rPr>
                <w:highlight w:val="yellow"/>
              </w:rPr>
            </w:pPr>
            <w:r w:rsidRPr="00E50574">
              <w:rPr>
                <w:highlight w:val="yellow"/>
              </w:rPr>
              <w:lastRenderedPageBreak/>
              <w:t>RAN2 to consider preparation of target cell configurations capable of dynamic switching without need for full configuration.</w:t>
            </w:r>
          </w:p>
          <w:p w14:paraId="73365460" w14:textId="77777777" w:rsidR="00EB7421" w:rsidRDefault="00EB7421" w:rsidP="00552B47">
            <w:pPr>
              <w:pStyle w:val="Agreement"/>
            </w:pPr>
            <w:r>
              <w:t>Measurement delay can/may be considered in this work</w:t>
            </w:r>
          </w:p>
          <w:p w14:paraId="064FE835" w14:textId="77777777" w:rsidR="00EB7421" w:rsidRDefault="00EB7421" w:rsidP="00552B47">
            <w:pPr>
              <w:pStyle w:val="Agreement"/>
            </w:pPr>
            <w:r>
              <w:t>Assume that we rely on L1 measurements to trigger L1L2 mobility (still measurement for preparation could be L3, FFS)</w:t>
            </w:r>
          </w:p>
          <w:p w14:paraId="428BDA26" w14:textId="77777777" w:rsidR="00EB7421" w:rsidRDefault="00EB7421" w:rsidP="00552B47">
            <w:pPr>
              <w:pStyle w:val="Agreement"/>
            </w:pPr>
            <w:r>
              <w:t xml:space="preserve">R2 will initially focus on </w:t>
            </w:r>
            <w:proofErr w:type="spellStart"/>
            <w:r>
              <w:t>PCell</w:t>
            </w:r>
            <w:proofErr w:type="spellEnd"/>
            <w:r>
              <w:t xml:space="preserve"> mobility. </w:t>
            </w:r>
          </w:p>
          <w:p w14:paraId="0A3CB3AF" w14:textId="77777777" w:rsidR="00EB7421" w:rsidRDefault="00EB7421" w:rsidP="00552B47">
            <w:pPr>
              <w:pStyle w:val="Agreement"/>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w:t>
            </w:r>
            <w:proofErr w:type="spellStart"/>
            <w:r w:rsidRPr="00AC6413">
              <w:rPr>
                <w:lang w:eastAsia="zh-CN"/>
              </w:rPr>
              <w:t>PCell</w:t>
            </w:r>
            <w:proofErr w:type="spellEnd"/>
            <w:r w:rsidRPr="00AC6413">
              <w:rPr>
                <w:lang w:eastAsia="zh-CN"/>
              </w:rPr>
              <w:t xml:space="preserve"> only) and CA scenarios</w:t>
            </w:r>
            <w:r>
              <w:rPr>
                <w:lang w:eastAsia="zh-CN"/>
              </w:rPr>
              <w:t xml:space="preserv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w:t>
            </w:r>
            <w:r w:rsidRPr="00AC6413">
              <w:rPr>
                <w:lang w:eastAsia="zh-CN"/>
              </w:rPr>
              <w:t xml:space="preserve">. </w:t>
            </w:r>
            <w:r>
              <w:rPr>
                <w:lang w:eastAsia="zh-CN"/>
              </w:rPr>
              <w:t>This includes</w:t>
            </w:r>
            <w:r w:rsidRPr="00AC6413">
              <w:rPr>
                <w:lang w:eastAsia="zh-CN"/>
              </w:rPr>
              <w:t xml:space="preserve"> the following cases</w:t>
            </w:r>
          </w:p>
          <w:p w14:paraId="55C5E5D0" w14:textId="77777777" w:rsidR="00EB7421" w:rsidRDefault="00EB7421" w:rsidP="00552B47">
            <w:pPr>
              <w:pStyle w:val="Agreement"/>
              <w:numPr>
                <w:ilvl w:val="0"/>
                <w:numId w:val="0"/>
              </w:numPr>
              <w:ind w:left="1619"/>
              <w:rPr>
                <w:lang w:eastAsia="zh-CN"/>
              </w:rPr>
            </w:pPr>
            <w:r w:rsidRPr="00AC6413">
              <w:rPr>
                <w:lang w:eastAsia="zh-CN"/>
              </w:rPr>
              <w:t xml:space="preserve">a) the target </w:t>
            </w:r>
            <w:proofErr w:type="spellStart"/>
            <w:r w:rsidRPr="00AC6413">
              <w:rPr>
                <w:lang w:eastAsia="zh-CN"/>
              </w:rPr>
              <w:t>PCell</w:t>
            </w:r>
            <w:proofErr w:type="spellEnd"/>
            <w:r>
              <w:rPr>
                <w:lang w:eastAsia="zh-CN"/>
              </w:rPr>
              <w:t>/target</w:t>
            </w:r>
            <w:r w:rsidRPr="00AC6413">
              <w:rPr>
                <w:lang w:eastAsia="zh-CN"/>
              </w:rPr>
              <w:t xml:space="preserve"> </w:t>
            </w:r>
            <w:proofErr w:type="spellStart"/>
            <w:r w:rsidRPr="00AC6413">
              <w:rPr>
                <w:lang w:eastAsia="zh-CN"/>
              </w:rPr>
              <w:t>SCell</w:t>
            </w:r>
            <w:proofErr w:type="spellEnd"/>
            <w:r>
              <w:rPr>
                <w:lang w:eastAsia="zh-CN"/>
              </w:rPr>
              <w:t>(s)</w:t>
            </w:r>
            <w:r w:rsidRPr="00AC6413">
              <w:rPr>
                <w:lang w:eastAsia="zh-CN"/>
              </w:rPr>
              <w:t xml:space="preserve"> </w:t>
            </w:r>
            <w:r>
              <w:rPr>
                <w:lang w:eastAsia="zh-CN"/>
              </w:rPr>
              <w:t xml:space="preserve">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240E40F8" w14:textId="77777777" w:rsidR="00EB7421" w:rsidRDefault="00EB7421" w:rsidP="00552B47">
            <w:pPr>
              <w:pStyle w:val="Agreement"/>
              <w:numPr>
                <w:ilvl w:val="0"/>
                <w:numId w:val="0"/>
              </w:numPr>
              <w:ind w:left="1619"/>
              <w:rPr>
                <w:lang w:eastAsia="zh-CN"/>
              </w:rPr>
            </w:pPr>
            <w:r w:rsidRPr="00AC6413">
              <w:rPr>
                <w:lang w:eastAsia="zh-CN"/>
              </w:rPr>
              <w:t xml:space="preserve">b) </w:t>
            </w:r>
            <w:r>
              <w:rPr>
                <w:lang w:eastAsia="zh-CN"/>
              </w:rPr>
              <w:t xml:space="preserve">FFS </w:t>
            </w:r>
            <w:r w:rsidRPr="00AC6413">
              <w:rPr>
                <w:lang w:eastAsia="zh-CN"/>
              </w:rPr>
              <w:t xml:space="preserve">the target </w:t>
            </w:r>
            <w:proofErr w:type="spellStart"/>
            <w:r w:rsidRPr="00AC6413">
              <w:rPr>
                <w:lang w:eastAsia="zh-CN"/>
              </w:rPr>
              <w:t>PCell</w:t>
            </w:r>
            <w:proofErr w:type="spellEnd"/>
            <w:r w:rsidRPr="00AC6413">
              <w:rPr>
                <w:lang w:eastAsia="zh-CN"/>
              </w:rPr>
              <w:t xml:space="preserve"> is a current </w:t>
            </w:r>
            <w:proofErr w:type="spellStart"/>
            <w:r w:rsidRPr="00AC6413">
              <w:rPr>
                <w:lang w:eastAsia="zh-CN"/>
              </w:rPr>
              <w:t>SCell</w:t>
            </w:r>
            <w:proofErr w:type="spellEnd"/>
          </w:p>
          <w:p w14:paraId="51DF2CDB" w14:textId="77777777" w:rsidR="00EB7421" w:rsidRDefault="00EB7421" w:rsidP="00552B47">
            <w:pPr>
              <w:pStyle w:val="Agreement"/>
              <w:numPr>
                <w:ilvl w:val="0"/>
                <w:numId w:val="0"/>
              </w:numPr>
              <w:ind w:left="1619"/>
              <w:rPr>
                <w:lang w:eastAsia="zh-CN"/>
              </w:rPr>
            </w:pPr>
            <w:r w:rsidRPr="00AC6413">
              <w:rPr>
                <w:lang w:eastAsia="zh-CN"/>
              </w:rPr>
              <w:t xml:space="preserve">c) </w:t>
            </w:r>
            <w:r>
              <w:rPr>
                <w:lang w:eastAsia="zh-CN"/>
              </w:rPr>
              <w:t xml:space="preserve">FFS </w:t>
            </w:r>
            <w:r w:rsidRPr="00AC6413">
              <w:rPr>
                <w:lang w:eastAsia="zh-CN"/>
              </w:rPr>
              <w:t xml:space="preserve">the target </w:t>
            </w:r>
            <w:proofErr w:type="spellStart"/>
            <w:r w:rsidRPr="00AC6413">
              <w:rPr>
                <w:lang w:eastAsia="zh-CN"/>
              </w:rPr>
              <w:t>SCell</w:t>
            </w:r>
            <w:proofErr w:type="spellEnd"/>
            <w:r w:rsidRPr="00AC6413">
              <w:rPr>
                <w:lang w:eastAsia="zh-CN"/>
              </w:rPr>
              <w:t xml:space="preserve"> is the current </w:t>
            </w:r>
            <w:proofErr w:type="spellStart"/>
            <w:r w:rsidRPr="00AC6413">
              <w:rPr>
                <w:lang w:eastAsia="zh-CN"/>
              </w:rPr>
              <w:t>PCell</w:t>
            </w:r>
            <w:proofErr w:type="spellEnd"/>
            <w:r w:rsidRPr="00AC6413">
              <w:rPr>
                <w:lang w:eastAsia="zh-CN"/>
              </w:rPr>
              <w:t>.</w:t>
            </w:r>
          </w:p>
          <w:p w14:paraId="79C8A153" w14:textId="77777777" w:rsidR="00EB7421" w:rsidRPr="00AC6413" w:rsidRDefault="00EB7421" w:rsidP="00552B47">
            <w:pPr>
              <w:pStyle w:val="Agreement"/>
              <w:rPr>
                <w:lang w:eastAsia="zh-CN"/>
              </w:rPr>
            </w:pPr>
            <w:r>
              <w:rPr>
                <w:lang w:eastAsia="zh-CN"/>
              </w:rPr>
              <w:t xml:space="preserve">DC scenarios are FFS (e.g. </w:t>
            </w:r>
            <w:proofErr w:type="spellStart"/>
            <w:r>
              <w:rPr>
                <w:lang w:eastAsia="zh-CN"/>
              </w:rPr>
              <w:t>PSCell</w:t>
            </w:r>
            <w:proofErr w:type="spellEnd"/>
            <w:r>
              <w:rPr>
                <w:lang w:eastAsia="zh-CN"/>
              </w:rPr>
              <w:t xml:space="preserve"> mobility may be a low hanging fruit FFS). </w:t>
            </w:r>
          </w:p>
          <w:p w14:paraId="20E1F034" w14:textId="77777777" w:rsidR="00EB7421" w:rsidRPr="00E50574" w:rsidRDefault="00EB7421" w:rsidP="00552B47">
            <w:pPr>
              <w:pStyle w:val="Agreement"/>
              <w:rPr>
                <w:highlight w:val="yellow"/>
                <w:lang w:val="en-US"/>
              </w:rPr>
            </w:pPr>
            <w:r w:rsidRPr="00E50574">
              <w:rPr>
                <w:highlight w:val="yellow"/>
                <w:lang w:val="en-US"/>
              </w:rPr>
              <w:t>Current options on the table: to configure a L1/L2 inter-cell mobility candidate cell:</w:t>
            </w:r>
          </w:p>
          <w:p w14:paraId="16C8C8E5" w14:textId="77777777" w:rsidR="00EB7421" w:rsidRPr="00E50574" w:rsidRDefault="00EB7421" w:rsidP="00552B47">
            <w:pPr>
              <w:pStyle w:val="Agreement"/>
              <w:numPr>
                <w:ilvl w:val="0"/>
                <w:numId w:val="0"/>
              </w:numPr>
              <w:ind w:left="1619"/>
              <w:rPr>
                <w:highlight w:val="yellow"/>
                <w:lang w:val="en-US"/>
              </w:rPr>
            </w:pPr>
            <w:r w:rsidRPr="00E50574">
              <w:rPr>
                <w:highlight w:val="yellow"/>
                <w:lang w:val="en-US"/>
              </w:rPr>
              <w:t>a.</w:t>
            </w:r>
            <w:r w:rsidRPr="00E50574">
              <w:rPr>
                <w:highlight w:val="yellow"/>
                <w:lang w:val="en-US"/>
              </w:rPr>
              <w:tab/>
              <w:t xml:space="preserve">One </w:t>
            </w:r>
            <w:proofErr w:type="spellStart"/>
            <w:r w:rsidRPr="00E50574">
              <w:rPr>
                <w:highlight w:val="yellow"/>
                <w:lang w:val="en-US"/>
              </w:rPr>
              <w:t>RRCReconfiguration</w:t>
            </w:r>
            <w:proofErr w:type="spellEnd"/>
            <w:r w:rsidRPr="00E50574">
              <w:rPr>
                <w:highlight w:val="yellow"/>
                <w:lang w:val="en-US"/>
              </w:rPr>
              <w:t xml:space="preserve"> message for candidate target cell</w:t>
            </w:r>
          </w:p>
          <w:p w14:paraId="2FCFB00A" w14:textId="77777777" w:rsidR="00EB7421" w:rsidRPr="00E50574" w:rsidRDefault="00EB7421" w:rsidP="00552B47">
            <w:pPr>
              <w:pStyle w:val="Agreement"/>
              <w:numPr>
                <w:ilvl w:val="0"/>
                <w:numId w:val="0"/>
              </w:numPr>
              <w:ind w:left="1619"/>
              <w:rPr>
                <w:highlight w:val="yellow"/>
                <w:lang w:val="en-US"/>
              </w:rPr>
            </w:pPr>
            <w:r w:rsidRPr="00E50574">
              <w:rPr>
                <w:highlight w:val="yellow"/>
                <w:lang w:val="en-US"/>
              </w:rPr>
              <w:t>b.</w:t>
            </w:r>
            <w:r w:rsidRPr="00E50574">
              <w:rPr>
                <w:highlight w:val="yellow"/>
                <w:lang w:val="en-US"/>
              </w:rPr>
              <w:tab/>
              <w:t xml:space="preserve">One </w:t>
            </w:r>
            <w:proofErr w:type="spellStart"/>
            <w:r w:rsidRPr="00E50574">
              <w:rPr>
                <w:highlight w:val="yellow"/>
                <w:lang w:val="en-US"/>
              </w:rPr>
              <w:t>CellGroupConfig</w:t>
            </w:r>
            <w:proofErr w:type="spellEnd"/>
            <w:r w:rsidRPr="00E50574">
              <w:rPr>
                <w:highlight w:val="yellow"/>
                <w:lang w:val="en-US"/>
              </w:rPr>
              <w:t xml:space="preserve"> IE for each candidate target cell</w:t>
            </w:r>
          </w:p>
          <w:p w14:paraId="4DA147F9" w14:textId="77777777" w:rsidR="00EB7421" w:rsidRPr="00597DC3" w:rsidRDefault="00EB7421" w:rsidP="00552B47">
            <w:pPr>
              <w:pStyle w:val="Agreement"/>
              <w:numPr>
                <w:ilvl w:val="0"/>
                <w:numId w:val="0"/>
              </w:numPr>
              <w:ind w:left="1619"/>
              <w:rPr>
                <w:lang w:val="en-US"/>
              </w:rPr>
            </w:pPr>
            <w:r w:rsidRPr="00E50574">
              <w:rPr>
                <w:highlight w:val="yellow"/>
                <w:lang w:val="en-US"/>
              </w:rPr>
              <w:t>c.</w:t>
            </w:r>
            <w:r w:rsidRPr="00E50574">
              <w:rPr>
                <w:highlight w:val="yellow"/>
                <w:lang w:val="en-US"/>
              </w:rPr>
              <w:tab/>
              <w:t xml:space="preserve">One </w:t>
            </w:r>
            <w:proofErr w:type="spellStart"/>
            <w:r w:rsidRPr="00E50574">
              <w:rPr>
                <w:highlight w:val="yellow"/>
                <w:lang w:val="en-US"/>
              </w:rPr>
              <w:t>SpCellConfig</w:t>
            </w:r>
            <w:proofErr w:type="spellEnd"/>
            <w:r w:rsidRPr="00E50574">
              <w:rPr>
                <w:highlight w:val="yellow"/>
                <w:lang w:val="en-US"/>
              </w:rPr>
              <w:t xml:space="preserve"> IE for each candidate target cell</w:t>
            </w:r>
          </w:p>
          <w:p w14:paraId="3F52FB37" w14:textId="77777777" w:rsidR="00EB7421" w:rsidRDefault="00EB7421" w:rsidP="00552B47">
            <w:pPr>
              <w:jc w:val="both"/>
              <w:rPr>
                <w:lang w:val="en-US"/>
              </w:rPr>
            </w:pPr>
          </w:p>
        </w:tc>
      </w:tr>
    </w:tbl>
    <w:p w14:paraId="547EEEE8" w14:textId="77777777" w:rsidR="00EB7421" w:rsidRDefault="00EB7421" w:rsidP="00EB7421">
      <w:pPr>
        <w:jc w:val="both"/>
        <w:rPr>
          <w:lang w:val="en-US"/>
        </w:rPr>
      </w:pPr>
    </w:p>
    <w:p w14:paraId="24A0261B" w14:textId="77777777" w:rsidR="00EB7421" w:rsidRDefault="00EB7421" w:rsidP="00EB7421">
      <w:pPr>
        <w:jc w:val="both"/>
        <w:rPr>
          <w:lang w:val="en-US"/>
        </w:rPr>
      </w:pPr>
      <w:r>
        <w:rPr>
          <w:lang w:val="en-US"/>
        </w:rPr>
        <w:t xml:space="preserve">In the email discussion </w:t>
      </w:r>
      <w:r>
        <w:rPr>
          <w:lang w:val="en-US"/>
        </w:rPr>
        <w:fldChar w:fldCharType="begin"/>
      </w:r>
      <w:r>
        <w:rPr>
          <w:lang w:val="en-US"/>
        </w:rPr>
        <w:instrText xml:space="preserve"> REF _Ref115283108 \r \h </w:instrText>
      </w:r>
      <w:r>
        <w:rPr>
          <w:lang w:val="en-US"/>
        </w:rPr>
      </w:r>
      <w:r>
        <w:rPr>
          <w:lang w:val="en-US"/>
        </w:rPr>
        <w:fldChar w:fldCharType="separate"/>
      </w:r>
      <w:r>
        <w:rPr>
          <w:lang w:val="en-US"/>
        </w:rPr>
        <w:t>[3]</w:t>
      </w:r>
      <w:r>
        <w:rPr>
          <w:lang w:val="en-US"/>
        </w:rPr>
        <w:fldChar w:fldCharType="end"/>
      </w:r>
      <w:r>
        <w:rPr>
          <w:lang w:val="en-US"/>
        </w:rPr>
        <w:t xml:space="preserve"> the following proposals are made:</w:t>
      </w:r>
    </w:p>
    <w:p w14:paraId="2EE29BE6"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57A52C87" w14:textId="77777777" w:rsidTr="00552B47">
        <w:tc>
          <w:tcPr>
            <w:tcW w:w="9629" w:type="dxa"/>
          </w:tcPr>
          <w:p w14:paraId="468381F9" w14:textId="77777777" w:rsidR="00EB7421" w:rsidRDefault="00EB7421" w:rsidP="00552B47">
            <w:pPr>
              <w:rPr>
                <w:rFonts w:eastAsiaTheme="minorHAnsi"/>
                <w:lang w:eastAsia="en-US"/>
              </w:rPr>
            </w:pPr>
            <w:r>
              <w:rPr>
                <w:b/>
                <w:bCs/>
                <w:lang w:val="en-US"/>
              </w:rPr>
              <w:fldChar w:fldCharType="begin"/>
            </w:r>
            <w:r>
              <w:rPr>
                <w:b/>
                <w:bCs/>
                <w:lang w:val="en-US"/>
              </w:rPr>
              <w:instrText xml:space="preserve"> TOC \n \h \z \t "Proposal" \c </w:instrText>
            </w:r>
            <w:r>
              <w:rPr>
                <w:b/>
                <w:bCs/>
                <w:lang w:val="en-US"/>
              </w:rPr>
              <w:fldChar w:fldCharType="separate"/>
            </w:r>
            <w:hyperlink w:anchor="_Toc115269579" w:history="1">
              <w:r w:rsidRPr="001B0C86">
                <w:rPr>
                  <w:rFonts w:eastAsiaTheme="minorHAnsi"/>
                  <w:lang w:eastAsia="en-US"/>
                </w:rPr>
                <w:t>Proposal 1</w:t>
              </w:r>
              <w:r w:rsidRPr="001B0C86">
                <w:rPr>
                  <w:rFonts w:eastAsiaTheme="minorHAnsi"/>
                  <w:lang w:eastAsia="en-US"/>
                </w:rPr>
                <w:tab/>
                <w:t>A L1/L2 inter-cell mobility target configuration is received within an RRC message before the L1/L2 mobility is triggered.</w:t>
              </w:r>
            </w:hyperlink>
          </w:p>
          <w:p w14:paraId="3E1E08DF" w14:textId="77777777" w:rsidR="00EB7421" w:rsidRPr="001B0C86" w:rsidRDefault="00EB7421" w:rsidP="00552B47">
            <w:pPr>
              <w:rPr>
                <w:rFonts w:eastAsiaTheme="minorHAnsi"/>
                <w:lang w:eastAsia="en-US"/>
              </w:rPr>
            </w:pPr>
          </w:p>
          <w:p w14:paraId="21471D91" w14:textId="77777777" w:rsidR="00EB7421" w:rsidRPr="001B0C86" w:rsidRDefault="0007684F" w:rsidP="00552B47">
            <w:pPr>
              <w:rPr>
                <w:rFonts w:eastAsiaTheme="minorHAnsi"/>
                <w:lang w:eastAsia="en-US"/>
              </w:rPr>
            </w:pPr>
            <w:hyperlink w:anchor="_Toc115269580" w:history="1">
              <w:r w:rsidR="00EB7421" w:rsidRPr="001B0C86">
                <w:rPr>
                  <w:rFonts w:eastAsiaTheme="minorHAnsi"/>
                  <w:lang w:eastAsia="en-US"/>
                </w:rPr>
                <w:t>Proposal 2</w:t>
              </w:r>
              <w:r w:rsidR="00EB7421" w:rsidRPr="001B0C86">
                <w:rPr>
                  <w:rFonts w:eastAsiaTheme="minorHAnsi"/>
                  <w:lang w:eastAsia="en-US"/>
                </w:rPr>
                <w:tab/>
                <w:t>RAN2 has the following understanding about the RRC models considered to model a L1/L2 inter-cell mobility target configuration:</w:t>
              </w:r>
            </w:hyperlink>
          </w:p>
          <w:tbl>
            <w:tblPr>
              <w:tblStyle w:val="GridTable4-Accent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3165"/>
              <w:gridCol w:w="4005"/>
            </w:tblGrid>
            <w:tr w:rsidR="00EB7421" w14:paraId="1E900367" w14:textId="77777777" w:rsidTr="00552B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il"/>
                    <w:left w:val="nil"/>
                    <w:bottom w:val="nil"/>
                  </w:tcBorders>
                  <w:hideMark/>
                </w:tcPr>
                <w:p w14:paraId="40461340" w14:textId="77777777" w:rsidR="00EB7421" w:rsidRDefault="00EB7421" w:rsidP="00552B47">
                  <w:pPr>
                    <w:pStyle w:val="BodyText"/>
                    <w:rPr>
                      <w:b w:val="0"/>
                      <w:bCs w:val="0"/>
                    </w:rPr>
                  </w:pPr>
                  <w:r>
                    <w:t>Model</w:t>
                  </w:r>
                </w:p>
              </w:tc>
              <w:tc>
                <w:tcPr>
                  <w:tcW w:w="3261" w:type="dxa"/>
                  <w:tcBorders>
                    <w:top w:val="nil"/>
                    <w:bottom w:val="nil"/>
                  </w:tcBorders>
                  <w:hideMark/>
                </w:tcPr>
                <w:p w14:paraId="5B5D5457" w14:textId="77777777" w:rsidR="00EB7421" w:rsidRDefault="00EB7421" w:rsidP="00552B47">
                  <w:pPr>
                    <w:pStyle w:val="BodyText"/>
                    <w:cnfStyle w:val="100000000000" w:firstRow="1" w:lastRow="0" w:firstColumn="0" w:lastColumn="0" w:oddVBand="0" w:evenVBand="0" w:oddHBand="0" w:evenHBand="0" w:firstRowFirstColumn="0" w:firstRowLastColumn="0" w:lastRowFirstColumn="0" w:lastRowLastColumn="0"/>
                    <w:rPr>
                      <w:b w:val="0"/>
                      <w:bCs w:val="0"/>
                    </w:rPr>
                  </w:pPr>
                  <w:r>
                    <w:t>Pros</w:t>
                  </w:r>
                </w:p>
              </w:tc>
              <w:tc>
                <w:tcPr>
                  <w:tcW w:w="4105" w:type="dxa"/>
                  <w:tcBorders>
                    <w:top w:val="nil"/>
                    <w:bottom w:val="nil"/>
                    <w:right w:val="nil"/>
                  </w:tcBorders>
                  <w:hideMark/>
                </w:tcPr>
                <w:p w14:paraId="2679827F" w14:textId="77777777" w:rsidR="00EB7421" w:rsidRDefault="00EB7421" w:rsidP="00552B47">
                  <w:pPr>
                    <w:pStyle w:val="BodyText"/>
                    <w:cnfStyle w:val="100000000000" w:firstRow="1" w:lastRow="0" w:firstColumn="0" w:lastColumn="0" w:oddVBand="0" w:evenVBand="0" w:oddHBand="0" w:evenHBand="0" w:firstRowFirstColumn="0" w:firstRowLastColumn="0" w:lastRowFirstColumn="0" w:lastRowLastColumn="0"/>
                    <w:rPr>
                      <w:b w:val="0"/>
                      <w:bCs w:val="0"/>
                    </w:rPr>
                  </w:pPr>
                  <w:r>
                    <w:t>Cons</w:t>
                  </w:r>
                </w:p>
              </w:tc>
            </w:tr>
            <w:tr w:rsidR="00EB7421" w14:paraId="0C6B1DB5" w14:textId="77777777" w:rsidTr="00552B47">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left w:val="single" w:sz="4" w:space="0" w:color="auto"/>
                    <w:bottom w:val="single" w:sz="4" w:space="0" w:color="auto"/>
                    <w:right w:val="single" w:sz="4" w:space="0" w:color="auto"/>
                  </w:tcBorders>
                  <w:hideMark/>
                </w:tcPr>
                <w:p w14:paraId="15DF41EA" w14:textId="77777777" w:rsidR="00EB7421" w:rsidRDefault="00EB7421" w:rsidP="00552B47">
                  <w:pPr>
                    <w:pStyle w:val="BodyText"/>
                    <w:rPr>
                      <w:b w:val="0"/>
                      <w:bCs w:val="0"/>
                      <w:lang w:eastAsia="zh-TW"/>
                    </w:rPr>
                  </w:pPr>
                  <w:r>
                    <w:rPr>
                      <w:lang w:eastAsia="zh-TW"/>
                    </w:rPr>
                    <w:t>Model 1</w:t>
                  </w:r>
                </w:p>
                <w:p w14:paraId="30F06A07" w14:textId="77777777" w:rsidR="00EB7421" w:rsidRDefault="00EB7421" w:rsidP="00552B47">
                  <w:pPr>
                    <w:pStyle w:val="BodyText"/>
                    <w:rPr>
                      <w:b w:val="0"/>
                      <w:bCs w:val="0"/>
                      <w:lang w:eastAsia="zh-CN"/>
                    </w:rPr>
                  </w:pPr>
                  <w:r>
                    <w:rPr>
                      <w:sz w:val="16"/>
                      <w:szCs w:val="16"/>
                      <w:lang w:eastAsia="zh-TW"/>
                    </w:rPr>
                    <w:t>(One RRCReconfiguration message (</w:t>
                  </w:r>
                  <w:r>
                    <w:rPr>
                      <w:i/>
                      <w:iCs/>
                      <w:sz w:val="16"/>
                      <w:szCs w:val="16"/>
                      <w:lang w:eastAsia="zh-TW"/>
                    </w:rPr>
                    <w:t>or FFS RRCReconfiguration IEs</w:t>
                  </w:r>
                  <w:r>
                    <w:rPr>
                      <w:sz w:val="16"/>
                      <w:szCs w:val="16"/>
                      <w:lang w:eastAsia="zh-TW"/>
                    </w:rPr>
                    <w:t>) for each candidate target configuration)</w:t>
                  </w:r>
                </w:p>
              </w:tc>
              <w:tc>
                <w:tcPr>
                  <w:tcW w:w="3261" w:type="dxa"/>
                  <w:tcBorders>
                    <w:top w:val="single" w:sz="4" w:space="0" w:color="auto"/>
                    <w:left w:val="single" w:sz="4" w:space="0" w:color="auto"/>
                    <w:bottom w:val="single" w:sz="4" w:space="0" w:color="auto"/>
                    <w:right w:val="single" w:sz="4" w:space="0" w:color="auto"/>
                  </w:tcBorders>
                </w:tcPr>
                <w:p w14:paraId="122054FB"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Full flexibility</w:t>
                  </w:r>
                </w:p>
                <w:p w14:paraId="7D68CAC4"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Support of all targeted scenarios</w:t>
                  </w:r>
                </w:p>
                <w:p w14:paraId="3837BA23"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Similarities with the existing CHO framework</w:t>
                  </w:r>
                </w:p>
                <w:p w14:paraId="4CECB126" w14:textId="77777777" w:rsidR="00EB7421" w:rsidRDefault="00EB7421" w:rsidP="00552B47">
                  <w:pPr>
                    <w:pStyle w:val="BodyText"/>
                    <w:cnfStyle w:val="000000000000" w:firstRow="0" w:lastRow="0" w:firstColumn="0" w:lastColumn="0" w:oddVBand="0" w:evenVBand="0" w:oddHBand="0" w:evenHBand="0" w:firstRowFirstColumn="0" w:firstRowLastColumn="0" w:lastRowFirstColumn="0" w:lastRowLastColumn="0"/>
                  </w:pPr>
                </w:p>
              </w:tc>
              <w:tc>
                <w:tcPr>
                  <w:tcW w:w="4105" w:type="dxa"/>
                  <w:tcBorders>
                    <w:top w:val="single" w:sz="4" w:space="0" w:color="auto"/>
                    <w:left w:val="single" w:sz="4" w:space="0" w:color="auto"/>
                    <w:bottom w:val="single" w:sz="4" w:space="0" w:color="auto"/>
                    <w:right w:val="single" w:sz="4" w:space="0" w:color="auto"/>
                  </w:tcBorders>
                </w:tcPr>
                <w:p w14:paraId="2F54CFE1"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 xml:space="preserve">Since only intra-CU scenario is considered, there may be no need to provide all configurations and field within the </w:t>
                  </w:r>
                  <w:r>
                    <w:rPr>
                      <w:i/>
                      <w:iCs/>
                    </w:rPr>
                    <w:t>RRCReconfiguration</w:t>
                  </w:r>
                  <w:r>
                    <w:t xml:space="preserve"> message.</w:t>
                  </w:r>
                </w:p>
                <w:p w14:paraId="63B7B2BE"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Existing RRC procedures may heavily impacted (specification efforts may not be minimal).</w:t>
                  </w:r>
                </w:p>
                <w:p w14:paraId="19511238"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Delta signalling may be needed (and needs to be discussed how to achieve it).</w:t>
                  </w:r>
                </w:p>
                <w:p w14:paraId="5634B719"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Potentially longer latency due to the execution of some RRC procedures (e.g., radio bearers, security, L1/L2 processing).</w:t>
                  </w:r>
                </w:p>
                <w:p w14:paraId="3F61223C" w14:textId="77777777" w:rsidR="00EB7421" w:rsidRDefault="00EB7421" w:rsidP="00552B47">
                  <w:pPr>
                    <w:pStyle w:val="BodyText"/>
                    <w:jc w:val="left"/>
                    <w:cnfStyle w:val="000000000000" w:firstRow="0" w:lastRow="0" w:firstColumn="0" w:lastColumn="0" w:oddVBand="0" w:evenVBand="0" w:oddHBand="0" w:evenHBand="0" w:firstRowFirstColumn="0" w:firstRowLastColumn="0" w:lastRowFirstColumn="0" w:lastRowLastColumn="0"/>
                  </w:pPr>
                </w:p>
              </w:tc>
            </w:tr>
            <w:tr w:rsidR="00EB7421" w14:paraId="0C9E15F9" w14:textId="77777777" w:rsidTr="00552B47">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left w:val="single" w:sz="4" w:space="0" w:color="auto"/>
                    <w:bottom w:val="single" w:sz="4" w:space="0" w:color="auto"/>
                    <w:right w:val="single" w:sz="4" w:space="0" w:color="auto"/>
                  </w:tcBorders>
                  <w:hideMark/>
                </w:tcPr>
                <w:p w14:paraId="045F6E4B" w14:textId="77777777" w:rsidR="00EB7421" w:rsidRDefault="00EB7421" w:rsidP="00552B47">
                  <w:pPr>
                    <w:pStyle w:val="BodyText"/>
                    <w:rPr>
                      <w:b w:val="0"/>
                      <w:bCs w:val="0"/>
                      <w:lang w:eastAsia="zh-TW"/>
                    </w:rPr>
                  </w:pPr>
                  <w:r>
                    <w:rPr>
                      <w:lang w:eastAsia="zh-TW"/>
                    </w:rPr>
                    <w:t>Model 2</w:t>
                  </w:r>
                </w:p>
                <w:p w14:paraId="5C16D5F0" w14:textId="77777777" w:rsidR="00EB7421" w:rsidRDefault="00EB7421" w:rsidP="00552B47">
                  <w:pPr>
                    <w:pStyle w:val="BodyText"/>
                    <w:rPr>
                      <w:b w:val="0"/>
                      <w:bCs w:val="0"/>
                      <w:lang w:eastAsia="zh-CN"/>
                    </w:rPr>
                  </w:pPr>
                  <w:r>
                    <w:rPr>
                      <w:sz w:val="16"/>
                      <w:szCs w:val="16"/>
                      <w:lang w:eastAsia="zh-TW"/>
                    </w:rPr>
                    <w:t>(One CellGroupConfig IE (</w:t>
                  </w:r>
                  <w:r>
                    <w:rPr>
                      <w:i/>
                      <w:iCs/>
                      <w:sz w:val="16"/>
                      <w:szCs w:val="16"/>
                      <w:lang w:eastAsia="zh-TW"/>
                    </w:rPr>
                    <w:t>FFS additional IEs</w:t>
                  </w:r>
                  <w:r>
                    <w:rPr>
                      <w:sz w:val="16"/>
                      <w:szCs w:val="16"/>
                      <w:lang w:eastAsia="zh-TW"/>
                    </w:rPr>
                    <w:t>) for each candidate target configuration)</w:t>
                  </w:r>
                </w:p>
              </w:tc>
              <w:tc>
                <w:tcPr>
                  <w:tcW w:w="3261" w:type="dxa"/>
                  <w:tcBorders>
                    <w:top w:val="single" w:sz="4" w:space="0" w:color="auto"/>
                    <w:left w:val="single" w:sz="4" w:space="0" w:color="auto"/>
                    <w:bottom w:val="single" w:sz="4" w:space="0" w:color="auto"/>
                    <w:right w:val="single" w:sz="4" w:space="0" w:color="auto"/>
                  </w:tcBorders>
                </w:tcPr>
                <w:p w14:paraId="731A35D8"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Support for all targeted scenarios</w:t>
                  </w:r>
                </w:p>
                <w:p w14:paraId="4F90A19E"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Smaller signalling overhead compared to e.g., model 1.</w:t>
                  </w:r>
                </w:p>
                <w:p w14:paraId="7A9517DE"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Potentially reduced interruption time due to less time spent by the UE to execute non-necessary RRC procedures.</w:t>
                  </w:r>
                </w:p>
                <w:p w14:paraId="44C187F3" w14:textId="77777777" w:rsidR="00EB7421" w:rsidRDefault="00EB7421" w:rsidP="00552B47">
                  <w:pPr>
                    <w:pStyle w:val="BodyText"/>
                    <w:cnfStyle w:val="000000000000" w:firstRow="0" w:lastRow="0" w:firstColumn="0" w:lastColumn="0" w:oddVBand="0" w:evenVBand="0" w:oddHBand="0" w:evenHBand="0" w:firstRowFirstColumn="0" w:firstRowLastColumn="0" w:lastRowFirstColumn="0" w:lastRowLastColumn="0"/>
                  </w:pPr>
                </w:p>
              </w:tc>
              <w:tc>
                <w:tcPr>
                  <w:tcW w:w="4105" w:type="dxa"/>
                  <w:tcBorders>
                    <w:top w:val="single" w:sz="4" w:space="0" w:color="auto"/>
                    <w:left w:val="single" w:sz="4" w:space="0" w:color="auto"/>
                    <w:bottom w:val="single" w:sz="4" w:space="0" w:color="auto"/>
                    <w:right w:val="single" w:sz="4" w:space="0" w:color="auto"/>
                  </w:tcBorders>
                </w:tcPr>
                <w:p w14:paraId="4F89491F"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How to perform L2 reset needs to be clarified</w:t>
                  </w:r>
                </w:p>
                <w:p w14:paraId="60C70DEA"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A new procedure for L1/L2 mobility may be needed (but some companies do not consider this necessarily a con).</w:t>
                  </w:r>
                </w:p>
                <w:p w14:paraId="4F6DBA2D"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One CellGroupConfig for each L1/L2 mobility target configuration</w:t>
                  </w:r>
                </w:p>
                <w:p w14:paraId="3F8C26F7"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 xml:space="preserve">Configuration outside the CellGroupConfig may require a </w:t>
                  </w:r>
                  <w:r>
                    <w:lastRenderedPageBreak/>
                    <w:t>subsequent RRCReconfiguration message after the switch has happened.</w:t>
                  </w:r>
                </w:p>
                <w:p w14:paraId="7EBFAAAB"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Delta signalling may be needed (and needs to be discussed how to achieve it).</w:t>
                  </w:r>
                </w:p>
                <w:p w14:paraId="1A035344" w14:textId="77777777" w:rsidR="00EB7421" w:rsidRDefault="00EB7421" w:rsidP="00552B47">
                  <w:pPr>
                    <w:pStyle w:val="BodyText"/>
                    <w:jc w:val="left"/>
                    <w:cnfStyle w:val="000000000000" w:firstRow="0" w:lastRow="0" w:firstColumn="0" w:lastColumn="0" w:oddVBand="0" w:evenVBand="0" w:oddHBand="0" w:evenHBand="0" w:firstRowFirstColumn="0" w:firstRowLastColumn="0" w:lastRowFirstColumn="0" w:lastRowLastColumn="0"/>
                  </w:pPr>
                </w:p>
              </w:tc>
            </w:tr>
            <w:tr w:rsidR="00EB7421" w14:paraId="750A3599" w14:textId="77777777" w:rsidTr="00552B47">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left w:val="single" w:sz="4" w:space="0" w:color="auto"/>
                    <w:bottom w:val="single" w:sz="4" w:space="0" w:color="auto"/>
                    <w:right w:val="single" w:sz="4" w:space="0" w:color="auto"/>
                  </w:tcBorders>
                  <w:hideMark/>
                </w:tcPr>
                <w:p w14:paraId="27BDA2C3" w14:textId="77777777" w:rsidR="00EB7421" w:rsidRDefault="00EB7421" w:rsidP="00552B47">
                  <w:pPr>
                    <w:pStyle w:val="BodyText"/>
                    <w:rPr>
                      <w:b w:val="0"/>
                      <w:bCs w:val="0"/>
                      <w:lang w:eastAsia="zh-TW"/>
                    </w:rPr>
                  </w:pPr>
                  <w:r>
                    <w:rPr>
                      <w:lang w:eastAsia="zh-TW"/>
                    </w:rPr>
                    <w:lastRenderedPageBreak/>
                    <w:t>Model 3</w:t>
                  </w:r>
                </w:p>
                <w:p w14:paraId="3119DA3F" w14:textId="77777777" w:rsidR="00EB7421" w:rsidRDefault="00EB7421" w:rsidP="00552B47">
                  <w:pPr>
                    <w:pStyle w:val="BodyText"/>
                    <w:rPr>
                      <w:lang w:eastAsia="zh-CN"/>
                    </w:rPr>
                  </w:pPr>
                  <w:r>
                    <w:rPr>
                      <w:sz w:val="16"/>
                      <w:szCs w:val="16"/>
                    </w:rPr>
                    <w:t>(one SpCellConfig IE (and eventually SCellConfig IE) for each candidate target configuration)</w:t>
                  </w:r>
                </w:p>
              </w:tc>
              <w:tc>
                <w:tcPr>
                  <w:tcW w:w="3261" w:type="dxa"/>
                  <w:tcBorders>
                    <w:top w:val="single" w:sz="4" w:space="0" w:color="auto"/>
                    <w:left w:val="single" w:sz="4" w:space="0" w:color="auto"/>
                    <w:bottom w:val="single" w:sz="4" w:space="0" w:color="auto"/>
                    <w:right w:val="single" w:sz="4" w:space="0" w:color="auto"/>
                  </w:tcBorders>
                  <w:hideMark/>
                </w:tcPr>
                <w:p w14:paraId="47D680B2"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The smallest signalling overhead compared to the other models</w:t>
                  </w:r>
                </w:p>
              </w:tc>
              <w:tc>
                <w:tcPr>
                  <w:tcW w:w="4105" w:type="dxa"/>
                  <w:tcBorders>
                    <w:top w:val="single" w:sz="4" w:space="0" w:color="auto"/>
                    <w:left w:val="single" w:sz="4" w:space="0" w:color="auto"/>
                    <w:bottom w:val="single" w:sz="4" w:space="0" w:color="auto"/>
                    <w:right w:val="single" w:sz="4" w:space="0" w:color="auto"/>
                  </w:tcBorders>
                </w:tcPr>
                <w:p w14:paraId="0B141664"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Target scenarios not fully supported (i.e., no support for the inter-DU case).</w:t>
                  </w:r>
                </w:p>
                <w:p w14:paraId="1CABB91F"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How to perform L2 reset needs to be clarified</w:t>
                  </w:r>
                </w:p>
                <w:p w14:paraId="02E995FC"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Little flexibility compared to the other models</w:t>
                  </w:r>
                </w:p>
                <w:p w14:paraId="562B8F1B" w14:textId="77777777" w:rsidR="00EB7421" w:rsidRDefault="00EB7421" w:rsidP="00552B47">
                  <w:pPr>
                    <w:pStyle w:val="BodyText"/>
                    <w:numPr>
                      <w:ilvl w:val="0"/>
                      <w:numId w:val="21"/>
                    </w:numPr>
                    <w:overflowPunct w:val="0"/>
                    <w:autoSpaceDE w:val="0"/>
                    <w:autoSpaceDN w:val="0"/>
                    <w:adjustRightInd w:val="0"/>
                    <w:ind w:left="171" w:hanging="171"/>
                    <w:cnfStyle w:val="000000000000" w:firstRow="0" w:lastRow="0" w:firstColumn="0" w:lastColumn="0" w:oddVBand="0" w:evenVBand="0" w:oddHBand="0" w:evenHBand="0" w:firstRowFirstColumn="0" w:firstRowLastColumn="0" w:lastRowFirstColumn="0" w:lastRowLastColumn="0"/>
                  </w:pPr>
                  <w:r>
                    <w:t>Delta signalling may be needed (and needs to be discussed how to achieve it)</w:t>
                  </w:r>
                </w:p>
                <w:p w14:paraId="601DDF3E" w14:textId="77777777" w:rsidR="00EB7421" w:rsidRDefault="00EB7421" w:rsidP="00552B47">
                  <w:pPr>
                    <w:pStyle w:val="BodyText"/>
                    <w:jc w:val="left"/>
                    <w:cnfStyle w:val="000000000000" w:firstRow="0" w:lastRow="0" w:firstColumn="0" w:lastColumn="0" w:oddVBand="0" w:evenVBand="0" w:oddHBand="0" w:evenHBand="0" w:firstRowFirstColumn="0" w:firstRowLastColumn="0" w:lastRowFirstColumn="0" w:lastRowLastColumn="0"/>
                  </w:pPr>
                </w:p>
              </w:tc>
            </w:tr>
          </w:tbl>
          <w:p w14:paraId="23B713E3" w14:textId="77777777" w:rsidR="00EB7421" w:rsidRDefault="00EB7421" w:rsidP="00552B47">
            <w:pPr>
              <w:rPr>
                <w:lang w:eastAsia="en-US"/>
              </w:rPr>
            </w:pPr>
          </w:p>
          <w:p w14:paraId="4182B51F" w14:textId="77777777" w:rsidR="00EB7421" w:rsidRDefault="0007684F" w:rsidP="00552B47">
            <w:pPr>
              <w:rPr>
                <w:rFonts w:eastAsiaTheme="minorHAnsi"/>
                <w:lang w:eastAsia="en-US"/>
              </w:rPr>
            </w:pPr>
            <w:hyperlink w:anchor="_Toc115269581" w:history="1">
              <w:r w:rsidR="00EB7421" w:rsidRPr="001B0C86">
                <w:rPr>
                  <w:rFonts w:eastAsiaTheme="minorHAnsi"/>
                  <w:lang w:eastAsia="en-US"/>
                </w:rPr>
                <w:t>Proposal 3</w:t>
              </w:r>
              <w:r w:rsidR="00EB7421" w:rsidRPr="001B0C86">
                <w:rPr>
                  <w:rFonts w:eastAsiaTheme="minorHAnsi"/>
                  <w:lang w:eastAsia="en-US"/>
                </w:rPr>
                <w:tab/>
                <w:t>A model in which one L1/L2 mobile target configuration is one SpCellConfig (or one SCellConfig) is not considered.</w:t>
              </w:r>
            </w:hyperlink>
          </w:p>
          <w:p w14:paraId="4E6B2EF1" w14:textId="77777777" w:rsidR="00EB7421" w:rsidRPr="001B0C86" w:rsidRDefault="00EB7421" w:rsidP="00552B47">
            <w:pPr>
              <w:rPr>
                <w:rFonts w:eastAsiaTheme="minorHAnsi"/>
                <w:lang w:eastAsia="en-US"/>
              </w:rPr>
            </w:pPr>
          </w:p>
          <w:p w14:paraId="00F4B4BD" w14:textId="77777777" w:rsidR="00EB7421" w:rsidRPr="004C623B" w:rsidRDefault="0007684F" w:rsidP="00552B47">
            <w:pPr>
              <w:rPr>
                <w:rFonts w:eastAsiaTheme="minorHAnsi"/>
                <w:highlight w:val="yellow"/>
                <w:lang w:eastAsia="en-US"/>
              </w:rPr>
            </w:pPr>
            <w:hyperlink w:anchor="_Toc115269582" w:history="1">
              <w:r w:rsidR="00EB7421" w:rsidRPr="004C623B">
                <w:rPr>
                  <w:rFonts w:eastAsiaTheme="minorHAnsi"/>
                  <w:highlight w:val="yellow"/>
                  <w:lang w:eastAsia="en-US"/>
                </w:rPr>
                <w:t>Proposal 4</w:t>
              </w:r>
              <w:r w:rsidR="00EB7421" w:rsidRPr="004C623B">
                <w:rPr>
                  <w:rFonts w:eastAsiaTheme="minorHAnsi"/>
                  <w:highlight w:val="yellow"/>
                  <w:lang w:eastAsia="en-US"/>
                </w:rPr>
                <w:tab/>
                <w:t>RAN2 to continue the discussion on the RRC models by focusing only on Model 1 and Model 2 and possible stage-3 details of these models.</w:t>
              </w:r>
            </w:hyperlink>
          </w:p>
          <w:p w14:paraId="46C65A53" w14:textId="77777777" w:rsidR="00EB7421" w:rsidRPr="004C623B" w:rsidRDefault="0007684F" w:rsidP="00552B47">
            <w:pPr>
              <w:rPr>
                <w:rFonts w:eastAsiaTheme="minorHAnsi"/>
                <w:highlight w:val="yellow"/>
                <w:lang w:eastAsia="en-US"/>
              </w:rPr>
            </w:pPr>
            <w:hyperlink w:anchor="_Toc115269583" w:history="1">
              <w:r w:rsidR="00EB7421" w:rsidRPr="004C623B">
                <w:rPr>
                  <w:rFonts w:eastAsiaTheme="minorHAnsi"/>
                  <w:highlight w:val="yellow"/>
                  <w:lang w:eastAsia="en-US"/>
                </w:rPr>
                <w:t>a.</w:t>
              </w:r>
              <w:r w:rsidR="00EB7421" w:rsidRPr="004C623B">
                <w:rPr>
                  <w:rFonts w:eastAsiaTheme="minorHAnsi"/>
                  <w:highlight w:val="yellow"/>
                  <w:lang w:eastAsia="en-US"/>
                </w:rPr>
                <w:tab/>
                <w:t>Model 1: One RRCReconfiguration message (or FFS RRCReconfiguration IEs) for each candidate target configuration</w:t>
              </w:r>
            </w:hyperlink>
          </w:p>
          <w:p w14:paraId="42840DAD" w14:textId="77777777" w:rsidR="00EB7421" w:rsidRPr="004C623B" w:rsidRDefault="0007684F" w:rsidP="00552B47">
            <w:pPr>
              <w:rPr>
                <w:rFonts w:eastAsiaTheme="minorHAnsi"/>
                <w:highlight w:val="yellow"/>
                <w:lang w:eastAsia="en-US"/>
              </w:rPr>
            </w:pPr>
            <w:hyperlink w:anchor="_Toc115269584" w:history="1">
              <w:r w:rsidR="00EB7421" w:rsidRPr="004C623B">
                <w:rPr>
                  <w:rFonts w:eastAsiaTheme="minorHAnsi"/>
                  <w:highlight w:val="yellow"/>
                  <w:lang w:eastAsia="en-US"/>
                </w:rPr>
                <w:t>b.</w:t>
              </w:r>
              <w:r w:rsidR="00EB7421" w:rsidRPr="004C623B">
                <w:rPr>
                  <w:rFonts w:eastAsiaTheme="minorHAnsi"/>
                  <w:highlight w:val="yellow"/>
                  <w:lang w:eastAsia="en-US"/>
                </w:rPr>
                <w:tab/>
                <w:t>Model 2: One CellGroupConfig IE (FFS additional IEs) for each candidate target configuration</w:t>
              </w:r>
            </w:hyperlink>
          </w:p>
          <w:p w14:paraId="5F0D7DE3" w14:textId="77777777" w:rsidR="00EB7421" w:rsidRDefault="0007684F" w:rsidP="00552B47">
            <w:pPr>
              <w:rPr>
                <w:rFonts w:eastAsiaTheme="minorHAnsi"/>
                <w:lang w:eastAsia="en-US"/>
              </w:rPr>
            </w:pPr>
            <w:hyperlink w:anchor="_Toc115269585" w:history="1">
              <w:r w:rsidR="00EB7421" w:rsidRPr="004C623B">
                <w:rPr>
                  <w:rFonts w:eastAsiaTheme="minorHAnsi"/>
                  <w:highlight w:val="yellow"/>
                  <w:lang w:eastAsia="en-US"/>
                </w:rPr>
                <w:t>Each candidate target configuration is one configuration set include SpCell and (optionally) SCell(s).</w:t>
              </w:r>
            </w:hyperlink>
          </w:p>
          <w:p w14:paraId="23A357B7" w14:textId="77777777" w:rsidR="00EB7421" w:rsidRPr="001B0C86" w:rsidRDefault="00EB7421" w:rsidP="00552B47">
            <w:pPr>
              <w:rPr>
                <w:rFonts w:eastAsiaTheme="minorHAnsi"/>
                <w:lang w:eastAsia="en-US"/>
              </w:rPr>
            </w:pPr>
          </w:p>
          <w:p w14:paraId="4C68D0AF" w14:textId="77777777" w:rsidR="00EB7421" w:rsidRPr="001B0C86" w:rsidRDefault="0007684F" w:rsidP="00552B47">
            <w:pPr>
              <w:rPr>
                <w:rFonts w:eastAsiaTheme="minorHAnsi"/>
                <w:lang w:eastAsia="en-US"/>
              </w:rPr>
            </w:pPr>
            <w:hyperlink w:anchor="_Toc115269586" w:history="1">
              <w:r w:rsidR="00EB7421" w:rsidRPr="001B0C86">
                <w:rPr>
                  <w:rFonts w:eastAsiaTheme="minorHAnsi"/>
                  <w:lang w:eastAsia="en-US"/>
                </w:rPr>
                <w:t>Proposal 5</w:t>
              </w:r>
              <w:r w:rsidR="00EB7421" w:rsidRPr="001B0C86">
                <w:rPr>
                  <w:rFonts w:eastAsiaTheme="minorHAnsi"/>
                  <w:lang w:eastAsia="en-US"/>
                </w:rPr>
                <w:tab/>
                <w:t>Whether to adopt a new terminology instead of “L1/L2-centric inter-cell mobility” should be discussed based on the WI progresses and company inputs.</w:t>
              </w:r>
            </w:hyperlink>
          </w:p>
          <w:p w14:paraId="6C1AB52B" w14:textId="77777777" w:rsidR="00EB7421" w:rsidRDefault="00EB7421" w:rsidP="00552B47">
            <w:pPr>
              <w:jc w:val="both"/>
              <w:rPr>
                <w:lang w:val="en-US"/>
              </w:rPr>
            </w:pPr>
            <w:r>
              <w:rPr>
                <w:b/>
                <w:bCs/>
                <w:lang w:val="en-US"/>
              </w:rPr>
              <w:fldChar w:fldCharType="end"/>
            </w:r>
          </w:p>
        </w:tc>
      </w:tr>
    </w:tbl>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081116FD" w14:textId="77777777" w:rsidR="00EB7421" w:rsidRDefault="00EB7421" w:rsidP="00EB7421">
      <w:r>
        <w:t xml:space="preserve">Until now, it seems that most companies have an understanding that the UE will be configured with one or multiple candidate target cells. </w:t>
      </w:r>
    </w:p>
    <w:p w14:paraId="12AB8D3A" w14:textId="77777777" w:rsidR="00EB7421" w:rsidRDefault="00EB7421" w:rsidP="00EB7421"/>
    <w:p w14:paraId="5A55AF14" w14:textId="77777777" w:rsidR="00EB7421" w:rsidRDefault="00EB7421" w:rsidP="00EB7421">
      <w:r>
        <w:t xml:space="preserve">In the case that only one candidate serving cell is configured, the target is essentially an RRC configuration (E.g. with delta configuration) and can easily be modelled as such. However, given that it has also been agreed </w:t>
      </w:r>
      <w:r w:rsidRPr="0051510D">
        <w:t>to consider preparation of target cell configurations capable of dynamic switching without need for full configuration</w:t>
      </w:r>
      <w:r>
        <w:t xml:space="preserve">, this may have an impact on the choice of RRC model and solution in the case that multiple targets need to be supported. </w:t>
      </w:r>
    </w:p>
    <w:p w14:paraId="242A7745" w14:textId="77777777" w:rsidR="00EB7421" w:rsidRDefault="00EB7421" w:rsidP="00EB7421"/>
    <w:p w14:paraId="0C2E6637" w14:textId="77777777" w:rsidR="00EB7421" w:rsidRDefault="00EB7421" w:rsidP="00EB7421">
      <w:r>
        <w:t xml:space="preserve">It seems clear that we do need to provide the support for multiple target configurations, since it may not be known at the time of configuration which target(s) will become the next serving cell(s) as this depends on UE mobility and radio conditions. This is why, for example, it’s possible to configure multiple neighbour cells for measurement and multiple target CHO configurations. It would be beneficial therefore to agree explicitly that multiple candidates can be configured. </w:t>
      </w:r>
    </w:p>
    <w:p w14:paraId="6B13FEC8" w14:textId="77777777" w:rsidR="00EB7421" w:rsidRDefault="00EB7421" w:rsidP="00EB7421"/>
    <w:p w14:paraId="79221E56" w14:textId="3D4AD220" w:rsidR="00EB7421" w:rsidRDefault="00EB7421" w:rsidP="00EB7421">
      <w:pPr>
        <w:rPr>
          <w:b/>
          <w:bCs/>
        </w:rPr>
      </w:pPr>
      <w:r w:rsidRPr="00D92122">
        <w:rPr>
          <w:b/>
          <w:bCs/>
        </w:rPr>
        <w:t xml:space="preserve">Proposal 1: </w:t>
      </w:r>
      <w:r>
        <w:rPr>
          <w:b/>
          <w:bCs/>
        </w:rPr>
        <w:t xml:space="preserve">Pre-configuration of multiple candidate target </w:t>
      </w:r>
      <w:r w:rsidR="00EE4238">
        <w:rPr>
          <w:b/>
          <w:bCs/>
        </w:rPr>
        <w:t>configurations</w:t>
      </w:r>
      <w:r>
        <w:rPr>
          <w:b/>
          <w:bCs/>
        </w:rPr>
        <w:t xml:space="preserve"> will be supported.</w:t>
      </w:r>
    </w:p>
    <w:p w14:paraId="2CF2C7CC" w14:textId="77777777" w:rsidR="00EB7421" w:rsidRDefault="00EB7421" w:rsidP="00EB7421"/>
    <w:p w14:paraId="78E7AF01" w14:textId="77777777" w:rsidR="00EB7421" w:rsidRDefault="00EB7421" w:rsidP="00EB7421">
      <w:r>
        <w:t xml:space="preserve">With this in mind, and again considering minimising the configuration overhead, we need to consider how to support a delta configuration of the target cell compared to the source. In addition, since it is assumed that for certain cases (at least intra-DU) that some of the candidate configuration will be common, then we should consider how to configure this in an efficient way. </w:t>
      </w:r>
    </w:p>
    <w:p w14:paraId="6B31A7A8" w14:textId="77777777" w:rsidR="00EB7421" w:rsidRDefault="00EB7421" w:rsidP="00EB7421"/>
    <w:p w14:paraId="6AF9C041" w14:textId="77777777" w:rsidR="00EB7421" w:rsidRDefault="00EB7421" w:rsidP="00EB7421">
      <w:r>
        <w:lastRenderedPageBreak/>
        <w:t xml:space="preserve">If the RRC model is either one RRC reconfiguration message per candidate or one </w:t>
      </w:r>
      <w:proofErr w:type="spellStart"/>
      <w:r>
        <w:t>CellGroupConfig</w:t>
      </w:r>
      <w:proofErr w:type="spellEnd"/>
      <w:r>
        <w:t xml:space="preserve"> IE per candidate, then this implies that, for example, when 8 target candidate configurations are provided then 8 </w:t>
      </w:r>
      <w:proofErr w:type="spellStart"/>
      <w:r>
        <w:t>CellGroupConfig</w:t>
      </w:r>
      <w:proofErr w:type="spellEnd"/>
      <w:r>
        <w:t xml:space="preserve"> or 8 RRC reconfiguration messages need to be provided by the NW. </w:t>
      </w:r>
    </w:p>
    <w:p w14:paraId="0A5170EE" w14:textId="77777777" w:rsidR="00EB7421" w:rsidRDefault="00EB7421" w:rsidP="00EB7421"/>
    <w:p w14:paraId="716622EA" w14:textId="77777777" w:rsidR="00EB7421" w:rsidRDefault="00EB7421" w:rsidP="00EB7421">
      <w:r>
        <w:t xml:space="preserve">However, this is unnecessary if several candidates share some common configuration. For example, if 4 of the candidate cells belong to one DU, and the other 4 to another DU, then it is possible that the </w:t>
      </w:r>
      <w:proofErr w:type="spellStart"/>
      <w:r>
        <w:t>CellGroupConfig</w:t>
      </w:r>
      <w:proofErr w:type="spellEnd"/>
      <w:r>
        <w:t xml:space="preserve"> (and SDAP, PDCP config, and potentially measurement config,) are common to the 4 candidates belonging to the same DU. In this case, the configuration needs to be provided only once. If the 4 candidates are provided in a list, we can provide the </w:t>
      </w:r>
      <w:proofErr w:type="spellStart"/>
      <w:r>
        <w:t>CellGroupConfig</w:t>
      </w:r>
      <w:proofErr w:type="spellEnd"/>
      <w:r>
        <w:t xml:space="preserve"> with the first entry in the list, and then refer to this by either providing a “NULL” IE or by referring to the index of the candidate entry in the list. The point is, it is not necessary to provide one </w:t>
      </w:r>
      <w:proofErr w:type="spellStart"/>
      <w:r>
        <w:t>CellGroupConfig</w:t>
      </w:r>
      <w:proofErr w:type="spellEnd"/>
      <w:r>
        <w:t xml:space="preserve"> (or one RRC reconfiguration message) per candidate if some of the information is common.</w:t>
      </w:r>
    </w:p>
    <w:p w14:paraId="76565DA5" w14:textId="77777777" w:rsidR="00EB7421" w:rsidRDefault="00EB7421" w:rsidP="00EB7421"/>
    <w:p w14:paraId="18A5A1BE" w14:textId="77777777" w:rsidR="00550EE2" w:rsidRDefault="00550EE2" w:rsidP="00550EE2">
      <w:pPr>
        <w:rPr>
          <w:b/>
          <w:bCs/>
        </w:rPr>
      </w:pPr>
      <w:r>
        <w:rPr>
          <w:b/>
          <w:bCs/>
        </w:rPr>
        <w:t xml:space="preserve">Proposal 2: If multiple candidate configurations can be provided, then these may be configured with some common configuration information to minimise overhead. For example, several candidate cells belonging to the same DU could be configured with the same </w:t>
      </w:r>
      <w:proofErr w:type="spellStart"/>
      <w:r>
        <w:rPr>
          <w:b/>
          <w:bCs/>
        </w:rPr>
        <w:t>CellGroupConfig</w:t>
      </w:r>
      <w:proofErr w:type="spellEnd"/>
      <w:r>
        <w:rPr>
          <w:b/>
          <w:bCs/>
        </w:rPr>
        <w:t xml:space="preserve"> and in this case it is not necessary to repeat the configuration for every candidate cell.</w:t>
      </w:r>
    </w:p>
    <w:p w14:paraId="205C79E1" w14:textId="77777777" w:rsidR="00EB7421" w:rsidRDefault="00EB7421" w:rsidP="00EB7421">
      <w:pPr>
        <w:rPr>
          <w:b/>
          <w:bCs/>
        </w:rPr>
      </w:pPr>
    </w:p>
    <w:p w14:paraId="16BC829C" w14:textId="29315ED8" w:rsidR="00EB7421" w:rsidRDefault="00EB7421" w:rsidP="00EB7421">
      <w:r w:rsidRPr="00A43A09">
        <w:t xml:space="preserve">Based on the above, it is not necessary to have “one </w:t>
      </w:r>
      <w:proofErr w:type="spellStart"/>
      <w:r w:rsidRPr="00A43A09">
        <w:t>CellGroupConfig</w:t>
      </w:r>
      <w:proofErr w:type="spellEnd"/>
      <w:r w:rsidRPr="00A43A09">
        <w:t xml:space="preserve"> </w:t>
      </w:r>
      <w:r>
        <w:t xml:space="preserve">IE </w:t>
      </w:r>
      <w:r w:rsidRPr="00A43A09">
        <w:t xml:space="preserve">per candidate”, or “one RRC Reconfiguration </w:t>
      </w:r>
      <w:r>
        <w:t xml:space="preserve">message </w:t>
      </w:r>
      <w:r w:rsidRPr="00A43A09">
        <w:t>per candidate”</w:t>
      </w:r>
      <w:r>
        <w:t xml:space="preserve">, this would be unnecessary in many cases. If it is agreed to model based on RRC Reconfiguration or </w:t>
      </w:r>
      <w:proofErr w:type="spellStart"/>
      <w:r>
        <w:t>CellGroupConfig</w:t>
      </w:r>
      <w:proofErr w:type="spellEnd"/>
      <w:r>
        <w:t xml:space="preserve"> then it should be clarified that for model 1 each candidate has an associated RRC Reconfiguration message and for model 2 each candidate has an associated </w:t>
      </w:r>
      <w:proofErr w:type="spellStart"/>
      <w:r>
        <w:t>CellGroupConfig</w:t>
      </w:r>
      <w:proofErr w:type="spellEnd"/>
      <w:r>
        <w:t xml:space="preserve"> IE, not necessarily that one has to be provided per candidate.</w:t>
      </w:r>
      <w:r w:rsidR="00B45A0F">
        <w:t xml:space="preserve"> An even better way to say this is that each candidate target configuration is modelled as a </w:t>
      </w:r>
      <w:proofErr w:type="spellStart"/>
      <w:r w:rsidR="00B45A0F">
        <w:t>RRCReconfiguration</w:t>
      </w:r>
      <w:proofErr w:type="spellEnd"/>
      <w:r w:rsidR="00B45A0F">
        <w:t xml:space="preserve"> message or a </w:t>
      </w:r>
      <w:proofErr w:type="spellStart"/>
      <w:r w:rsidR="00B45A0F">
        <w:t>CellGroupConfig</w:t>
      </w:r>
      <w:proofErr w:type="spellEnd"/>
      <w:r w:rsidR="00B45A0F">
        <w:t xml:space="preserve">. We understand that this is the intention rather than to </w:t>
      </w:r>
      <w:r w:rsidR="00550EE2">
        <w:t xml:space="preserve">prescribe that 32 </w:t>
      </w:r>
      <w:proofErr w:type="spellStart"/>
      <w:r w:rsidR="00550EE2">
        <w:t>CellGroupConfig</w:t>
      </w:r>
      <w:proofErr w:type="spellEnd"/>
      <w:r w:rsidR="00550EE2">
        <w:t xml:space="preserve"> need to be signalled for 32 candidates – rather the intention is to model a candidate based on cell group or RRC reconfiguration, and rule out a model based only on cell.</w:t>
      </w:r>
    </w:p>
    <w:p w14:paraId="58EB544A" w14:textId="77777777" w:rsidR="00EB7421" w:rsidRDefault="00EB7421" w:rsidP="00EB7421"/>
    <w:p w14:paraId="31595750" w14:textId="77777777" w:rsidR="00550EE2" w:rsidRDefault="00550EE2" w:rsidP="00550EE2">
      <w:pPr>
        <w:rPr>
          <w:b/>
          <w:bCs/>
        </w:rPr>
      </w:pPr>
      <w:r w:rsidRPr="00D81125">
        <w:rPr>
          <w:b/>
          <w:bCs/>
        </w:rPr>
        <w:t>Proposal 3</w:t>
      </w:r>
      <w:r>
        <w:rPr>
          <w:b/>
          <w:bCs/>
        </w:rPr>
        <w:t xml:space="preserve">: </w:t>
      </w:r>
      <w:r w:rsidRPr="00D81125">
        <w:rPr>
          <w:b/>
          <w:bCs/>
        </w:rPr>
        <w:t>Clarify models 1 and 2 as follows:</w:t>
      </w:r>
    </w:p>
    <w:p w14:paraId="4B7767C9" w14:textId="77777777" w:rsidR="00550EE2" w:rsidRPr="00EB7421" w:rsidRDefault="00550EE2" w:rsidP="00550EE2">
      <w:pPr>
        <w:pStyle w:val="ListParagraph"/>
        <w:numPr>
          <w:ilvl w:val="0"/>
          <w:numId w:val="22"/>
        </w:numPr>
        <w:rPr>
          <w:rFonts w:ascii="Times New Roman" w:hAnsi="Times New Roman"/>
          <w:b/>
          <w:bCs/>
          <w:sz w:val="20"/>
          <w:szCs w:val="20"/>
        </w:rPr>
      </w:pPr>
      <w:r w:rsidRPr="00EB7421">
        <w:rPr>
          <w:rFonts w:ascii="Times New Roman" w:hAnsi="Times New Roman"/>
          <w:b/>
          <w:bCs/>
          <w:sz w:val="20"/>
          <w:szCs w:val="20"/>
        </w:rPr>
        <w:t xml:space="preserve">Model 1: </w:t>
      </w:r>
      <w:r>
        <w:rPr>
          <w:rFonts w:ascii="Times New Roman" w:hAnsi="Times New Roman"/>
          <w:b/>
          <w:bCs/>
          <w:sz w:val="20"/>
          <w:szCs w:val="20"/>
        </w:rPr>
        <w:t>E</w:t>
      </w:r>
      <w:r w:rsidRPr="00EB7421">
        <w:rPr>
          <w:rFonts w:ascii="Times New Roman" w:hAnsi="Times New Roman"/>
          <w:b/>
          <w:bCs/>
          <w:sz w:val="20"/>
          <w:szCs w:val="20"/>
        </w:rPr>
        <w:t>ach candidate target configuration</w:t>
      </w:r>
      <w:r>
        <w:rPr>
          <w:rFonts w:ascii="Times New Roman" w:hAnsi="Times New Roman"/>
          <w:b/>
          <w:bCs/>
          <w:sz w:val="20"/>
          <w:szCs w:val="20"/>
        </w:rPr>
        <w:t xml:space="preserve"> is modelled as a </w:t>
      </w:r>
      <w:proofErr w:type="spellStart"/>
      <w:r w:rsidRPr="00EB7421">
        <w:rPr>
          <w:rFonts w:ascii="Times New Roman" w:hAnsi="Times New Roman"/>
          <w:b/>
          <w:bCs/>
          <w:sz w:val="20"/>
          <w:szCs w:val="20"/>
        </w:rPr>
        <w:t>RRCReconfiguration</w:t>
      </w:r>
      <w:proofErr w:type="spellEnd"/>
      <w:r w:rsidRPr="00EB7421">
        <w:rPr>
          <w:rFonts w:ascii="Times New Roman" w:hAnsi="Times New Roman"/>
          <w:b/>
          <w:bCs/>
          <w:sz w:val="20"/>
          <w:szCs w:val="20"/>
        </w:rPr>
        <w:t xml:space="preserve"> message (or FFS </w:t>
      </w:r>
      <w:proofErr w:type="spellStart"/>
      <w:r w:rsidRPr="00EB7421">
        <w:rPr>
          <w:rFonts w:ascii="Times New Roman" w:hAnsi="Times New Roman"/>
          <w:b/>
          <w:bCs/>
          <w:sz w:val="20"/>
          <w:szCs w:val="20"/>
        </w:rPr>
        <w:t>RRCReconfiguration</w:t>
      </w:r>
      <w:proofErr w:type="spellEnd"/>
      <w:r w:rsidRPr="00EB7421">
        <w:rPr>
          <w:rFonts w:ascii="Times New Roman" w:hAnsi="Times New Roman"/>
          <w:b/>
          <w:bCs/>
          <w:sz w:val="20"/>
          <w:szCs w:val="20"/>
        </w:rPr>
        <w:t xml:space="preserve"> IEs)</w:t>
      </w:r>
      <w:r>
        <w:rPr>
          <w:rFonts w:ascii="Times New Roman" w:hAnsi="Times New Roman"/>
          <w:b/>
          <w:bCs/>
          <w:sz w:val="20"/>
          <w:szCs w:val="20"/>
        </w:rPr>
        <w:t xml:space="preserve">. </w:t>
      </w:r>
    </w:p>
    <w:p w14:paraId="3ED56E0D" w14:textId="77777777" w:rsidR="00550EE2" w:rsidRPr="00B45A0F" w:rsidRDefault="00550EE2" w:rsidP="00550EE2">
      <w:pPr>
        <w:pStyle w:val="ListParagraph"/>
        <w:numPr>
          <w:ilvl w:val="0"/>
          <w:numId w:val="22"/>
        </w:numPr>
      </w:pPr>
      <w:r w:rsidRPr="00B45A0F">
        <w:rPr>
          <w:rFonts w:ascii="Times New Roman" w:hAnsi="Times New Roman"/>
          <w:b/>
          <w:bCs/>
          <w:sz w:val="20"/>
          <w:szCs w:val="20"/>
        </w:rPr>
        <w:t xml:space="preserve">Model 2: </w:t>
      </w:r>
      <w:r>
        <w:rPr>
          <w:rFonts w:ascii="Times New Roman" w:hAnsi="Times New Roman"/>
          <w:b/>
          <w:bCs/>
          <w:sz w:val="20"/>
          <w:szCs w:val="20"/>
        </w:rPr>
        <w:t>Ea</w:t>
      </w:r>
      <w:r w:rsidRPr="00B45A0F">
        <w:rPr>
          <w:rFonts w:ascii="Times New Roman" w:hAnsi="Times New Roman"/>
          <w:b/>
          <w:bCs/>
          <w:sz w:val="20"/>
          <w:szCs w:val="20"/>
        </w:rPr>
        <w:t xml:space="preserve">ch candidate target configuration is modelled as a </w:t>
      </w:r>
      <w:proofErr w:type="spellStart"/>
      <w:r w:rsidRPr="00EB7421">
        <w:rPr>
          <w:rFonts w:ascii="Times New Roman" w:hAnsi="Times New Roman"/>
          <w:b/>
          <w:bCs/>
          <w:sz w:val="20"/>
          <w:szCs w:val="20"/>
        </w:rPr>
        <w:t>CellGroupConfig</w:t>
      </w:r>
      <w:proofErr w:type="spellEnd"/>
      <w:r w:rsidRPr="00EB7421">
        <w:rPr>
          <w:rFonts w:ascii="Times New Roman" w:hAnsi="Times New Roman"/>
          <w:b/>
          <w:bCs/>
          <w:sz w:val="20"/>
          <w:szCs w:val="20"/>
        </w:rPr>
        <w:t xml:space="preserve"> IE (FFS additional IEs)</w:t>
      </w:r>
      <w:r>
        <w:rPr>
          <w:rFonts w:ascii="Times New Roman" w:hAnsi="Times New Roman"/>
          <w:b/>
          <w:bCs/>
          <w:sz w:val="20"/>
          <w:szCs w:val="20"/>
        </w:rPr>
        <w:t xml:space="preserve">. </w:t>
      </w:r>
    </w:p>
    <w:p w14:paraId="425AE616" w14:textId="77777777" w:rsidR="00B45A0F" w:rsidRDefault="00B45A0F" w:rsidP="00B45A0F">
      <w:pPr>
        <w:pStyle w:val="ListParagraph"/>
      </w:pPr>
    </w:p>
    <w:p w14:paraId="5DFC0D43" w14:textId="77777777" w:rsidR="008C3D01" w:rsidRDefault="007C15F3" w:rsidP="00EB7421">
      <w:r>
        <w:t xml:space="preserve">One potential approach to minimise overhead would be to allow the possibility to configure multiple target configurations, each with multiple </w:t>
      </w:r>
      <w:r w:rsidR="0071755F">
        <w:t xml:space="preserve">serving cell options. </w:t>
      </w:r>
    </w:p>
    <w:p w14:paraId="6D904A4D" w14:textId="77777777" w:rsidR="008C3D01" w:rsidRDefault="008C3D01" w:rsidP="00EB7421"/>
    <w:p w14:paraId="4049FB83" w14:textId="6985E793" w:rsidR="008C3D01" w:rsidRDefault="0029789A" w:rsidP="00EB7421">
      <w:r>
        <w:t>W</w:t>
      </w:r>
      <w:r w:rsidR="008C3D01">
        <w:t xml:space="preserve">e have the following </w:t>
      </w:r>
      <w:r>
        <w:t xml:space="preserve">2 main </w:t>
      </w:r>
      <w:r w:rsidR="008C3D01">
        <w:t xml:space="preserve">options </w:t>
      </w:r>
      <w:r>
        <w:t xml:space="preserve">for structuring the candidate configuration </w:t>
      </w:r>
      <w:r w:rsidR="0071755F">
        <w:t xml:space="preserve">in the case of 3 potential target </w:t>
      </w:r>
      <w:proofErr w:type="spellStart"/>
      <w:r w:rsidR="00360D20">
        <w:t>SpC</w:t>
      </w:r>
      <w:r w:rsidR="0071755F">
        <w:t>ells</w:t>
      </w:r>
      <w:proofErr w:type="spellEnd"/>
      <w:r>
        <w:t xml:space="preserve"> belonging to the same DU</w:t>
      </w:r>
      <w:r w:rsidR="00B45A0F">
        <w:t xml:space="preserve"> (the 2 examples assume </w:t>
      </w:r>
      <w:proofErr w:type="spellStart"/>
      <w:r w:rsidR="00B45A0F">
        <w:t>CellGroupConfig</w:t>
      </w:r>
      <w:proofErr w:type="spellEnd"/>
      <w:r w:rsidR="00B45A0F">
        <w:t xml:space="preserve"> candidate configuration model, but the same applies in case we have RRC Reconfiguration candidate configuration model)</w:t>
      </w:r>
      <w:r w:rsidR="00360D20">
        <w:t>:</w:t>
      </w:r>
    </w:p>
    <w:p w14:paraId="26BC022F" w14:textId="77777777" w:rsidR="008C3D01" w:rsidRDefault="008C3D01" w:rsidP="00EB7421"/>
    <w:p w14:paraId="5298C23A" w14:textId="113D06E6" w:rsidR="0071755F" w:rsidRPr="00B27ECB" w:rsidRDefault="008C3D01" w:rsidP="00EB7421">
      <w:pPr>
        <w:rPr>
          <w:b/>
          <w:bCs/>
          <w:u w:val="single"/>
        </w:rPr>
      </w:pPr>
      <w:r w:rsidRPr="00B27ECB">
        <w:rPr>
          <w:b/>
          <w:bCs/>
          <w:u w:val="single"/>
        </w:rPr>
        <w:t>Option A:</w:t>
      </w:r>
      <w:r w:rsidR="0071755F" w:rsidRPr="00B27ECB">
        <w:rPr>
          <w:b/>
          <w:bCs/>
          <w:u w:val="single"/>
        </w:rPr>
        <w:t xml:space="preserve"> </w:t>
      </w:r>
    </w:p>
    <w:p w14:paraId="6D3E65B1" w14:textId="0310242C" w:rsidR="008C3D01" w:rsidRDefault="008C3D01" w:rsidP="00EB7421">
      <w:r>
        <w:t xml:space="preserve">Every possible </w:t>
      </w:r>
      <w:proofErr w:type="spellStart"/>
      <w:r>
        <w:t>SpCell</w:t>
      </w:r>
      <w:proofErr w:type="spellEnd"/>
      <w:r>
        <w:t xml:space="preserve"> has a complete target configuration:</w:t>
      </w:r>
    </w:p>
    <w:tbl>
      <w:tblPr>
        <w:tblStyle w:val="TableGrid"/>
        <w:tblW w:w="0" w:type="auto"/>
        <w:tblLook w:val="04A0" w:firstRow="1" w:lastRow="0" w:firstColumn="1" w:lastColumn="0" w:noHBand="0" w:noVBand="1"/>
      </w:tblPr>
      <w:tblGrid>
        <w:gridCol w:w="9629"/>
      </w:tblGrid>
      <w:tr w:rsidR="00B27ECB" w14:paraId="38722E01" w14:textId="77777777" w:rsidTr="00B27ECB">
        <w:tc>
          <w:tcPr>
            <w:tcW w:w="9629" w:type="dxa"/>
          </w:tcPr>
          <w:p w14:paraId="2C5C2940" w14:textId="77777777" w:rsidR="00B27ECB" w:rsidRDefault="00B27ECB" w:rsidP="00B27ECB"/>
          <w:p w14:paraId="66A74AB3" w14:textId="77777777"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1: </w:t>
            </w:r>
            <w:proofErr w:type="spellStart"/>
            <w:r w:rsidRPr="00F850DF">
              <w:rPr>
                <w:rFonts w:ascii="Times New Roman" w:hAnsi="Times New Roman"/>
              </w:rPr>
              <w:t>CellGroupConfig</w:t>
            </w:r>
            <w:proofErr w:type="spellEnd"/>
            <w:r w:rsidRPr="00F850DF">
              <w:rPr>
                <w:rFonts w:ascii="Times New Roman" w:hAnsi="Times New Roman"/>
              </w:rPr>
              <w:t xml:space="preserve"> with cell 1 as </w:t>
            </w:r>
            <w:proofErr w:type="spellStart"/>
            <w:r w:rsidRPr="00F850DF">
              <w:rPr>
                <w:rFonts w:ascii="Times New Roman" w:hAnsi="Times New Roman"/>
              </w:rPr>
              <w:t>SpCell</w:t>
            </w:r>
            <w:proofErr w:type="spellEnd"/>
            <w:r w:rsidRPr="00F850DF">
              <w:rPr>
                <w:rFonts w:ascii="Times New Roman" w:hAnsi="Times New Roman"/>
              </w:rPr>
              <w:t xml:space="preserve"> and cells 2,3 as </w:t>
            </w:r>
            <w:proofErr w:type="spellStart"/>
            <w:r w:rsidRPr="00F850DF">
              <w:rPr>
                <w:rFonts w:ascii="Times New Roman" w:hAnsi="Times New Roman"/>
              </w:rPr>
              <w:t>SCells</w:t>
            </w:r>
            <w:proofErr w:type="spellEnd"/>
          </w:p>
          <w:p w14:paraId="3AE995AF" w14:textId="77777777"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2: </w:t>
            </w:r>
            <w:proofErr w:type="spellStart"/>
            <w:r w:rsidRPr="00F850DF">
              <w:rPr>
                <w:rFonts w:ascii="Times New Roman" w:hAnsi="Times New Roman"/>
              </w:rPr>
              <w:t>CellGroupConfig</w:t>
            </w:r>
            <w:proofErr w:type="spellEnd"/>
            <w:r w:rsidRPr="00F850DF">
              <w:rPr>
                <w:rFonts w:ascii="Times New Roman" w:hAnsi="Times New Roman"/>
              </w:rPr>
              <w:t xml:space="preserve"> with cell 2 as </w:t>
            </w:r>
            <w:proofErr w:type="spellStart"/>
            <w:r w:rsidRPr="00F850DF">
              <w:rPr>
                <w:rFonts w:ascii="Times New Roman" w:hAnsi="Times New Roman"/>
              </w:rPr>
              <w:t>SpCell</w:t>
            </w:r>
            <w:proofErr w:type="spellEnd"/>
            <w:r w:rsidRPr="00F850DF">
              <w:rPr>
                <w:rFonts w:ascii="Times New Roman" w:hAnsi="Times New Roman"/>
              </w:rPr>
              <w:t xml:space="preserve"> and cells 1, 3 as </w:t>
            </w:r>
            <w:proofErr w:type="spellStart"/>
            <w:r w:rsidRPr="00F850DF">
              <w:rPr>
                <w:rFonts w:ascii="Times New Roman" w:hAnsi="Times New Roman"/>
              </w:rPr>
              <w:t>SCells</w:t>
            </w:r>
            <w:proofErr w:type="spellEnd"/>
          </w:p>
          <w:p w14:paraId="2E20408E" w14:textId="77777777"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3, </w:t>
            </w:r>
            <w:proofErr w:type="spellStart"/>
            <w:r w:rsidRPr="00F850DF">
              <w:rPr>
                <w:rFonts w:ascii="Times New Roman" w:hAnsi="Times New Roman"/>
              </w:rPr>
              <w:t>CellGroupConfig</w:t>
            </w:r>
            <w:proofErr w:type="spellEnd"/>
            <w:r w:rsidRPr="00F850DF">
              <w:rPr>
                <w:rFonts w:ascii="Times New Roman" w:hAnsi="Times New Roman"/>
              </w:rPr>
              <w:t xml:space="preserve"> with cell 3 as </w:t>
            </w:r>
            <w:proofErr w:type="spellStart"/>
            <w:r w:rsidRPr="00F850DF">
              <w:rPr>
                <w:rFonts w:ascii="Times New Roman" w:hAnsi="Times New Roman"/>
              </w:rPr>
              <w:t>SpCell</w:t>
            </w:r>
            <w:proofErr w:type="spellEnd"/>
            <w:r w:rsidRPr="00F850DF">
              <w:rPr>
                <w:rFonts w:ascii="Times New Roman" w:hAnsi="Times New Roman"/>
              </w:rPr>
              <w:t xml:space="preserve"> and cells 1, 2 as </w:t>
            </w:r>
            <w:proofErr w:type="spellStart"/>
            <w:r w:rsidRPr="00F850DF">
              <w:rPr>
                <w:rFonts w:ascii="Times New Roman" w:hAnsi="Times New Roman"/>
              </w:rPr>
              <w:t>SCells</w:t>
            </w:r>
            <w:proofErr w:type="spellEnd"/>
          </w:p>
          <w:p w14:paraId="14FC91CD" w14:textId="77777777" w:rsidR="00B27ECB" w:rsidRDefault="00B27ECB" w:rsidP="00EB7421"/>
        </w:tc>
      </w:tr>
    </w:tbl>
    <w:p w14:paraId="4BC596FE" w14:textId="763E77B2" w:rsidR="0071755F" w:rsidRDefault="0071755F" w:rsidP="0071755F"/>
    <w:p w14:paraId="791F2F7E" w14:textId="05D9D7EB" w:rsidR="008C3D01" w:rsidRPr="00B27ECB" w:rsidRDefault="008C3D01" w:rsidP="0071755F">
      <w:pPr>
        <w:rPr>
          <w:b/>
          <w:bCs/>
          <w:u w:val="single"/>
        </w:rPr>
      </w:pPr>
      <w:r w:rsidRPr="00B27ECB">
        <w:rPr>
          <w:b/>
          <w:bCs/>
          <w:u w:val="single"/>
        </w:rPr>
        <w:t>Option B:</w:t>
      </w:r>
    </w:p>
    <w:p w14:paraId="39D11635" w14:textId="2659433B" w:rsidR="0071755F" w:rsidRDefault="00360D20" w:rsidP="0071755F">
      <w:r w:rsidRPr="00F850DF">
        <w:t xml:space="preserve">One </w:t>
      </w:r>
      <w:proofErr w:type="spellStart"/>
      <w:r w:rsidR="0071755F" w:rsidRPr="00F850DF">
        <w:t>Cell</w:t>
      </w:r>
      <w:r w:rsidRPr="00F850DF">
        <w:t>CellGroupConfig</w:t>
      </w:r>
      <w:proofErr w:type="spellEnd"/>
      <w:r w:rsidRPr="00F850DF">
        <w:t xml:space="preserve"> (</w:t>
      </w:r>
      <w:r w:rsidR="0071755F" w:rsidRPr="00F850DF">
        <w:t>or RRC Reconfiguration) which is provided with</w:t>
      </w:r>
      <w:r w:rsidRPr="00F850DF">
        <w:t xml:space="preserve"> </w:t>
      </w:r>
      <w:proofErr w:type="spellStart"/>
      <w:r w:rsidRPr="00F850DF">
        <w:t>SpCell</w:t>
      </w:r>
      <w:proofErr w:type="spellEnd"/>
      <w:r w:rsidRPr="00F850DF">
        <w:t xml:space="preserve"> and </w:t>
      </w:r>
      <w:proofErr w:type="spellStart"/>
      <w:r w:rsidRPr="00F850DF">
        <w:t>SCell</w:t>
      </w:r>
      <w:proofErr w:type="spellEnd"/>
      <w:r w:rsidRPr="00F850DF">
        <w:t xml:space="preserve"> options for each target cell:</w:t>
      </w:r>
    </w:p>
    <w:tbl>
      <w:tblPr>
        <w:tblStyle w:val="TableGrid"/>
        <w:tblW w:w="0" w:type="auto"/>
        <w:tblLook w:val="04A0" w:firstRow="1" w:lastRow="0" w:firstColumn="1" w:lastColumn="0" w:noHBand="0" w:noVBand="1"/>
      </w:tblPr>
      <w:tblGrid>
        <w:gridCol w:w="9629"/>
      </w:tblGrid>
      <w:tr w:rsidR="00B27ECB" w14:paraId="2E87C9D4" w14:textId="77777777" w:rsidTr="00B27ECB">
        <w:tc>
          <w:tcPr>
            <w:tcW w:w="9629" w:type="dxa"/>
          </w:tcPr>
          <w:p w14:paraId="4B592629" w14:textId="77777777" w:rsidR="0019441E" w:rsidRDefault="0019441E" w:rsidP="0019441E">
            <w:pPr>
              <w:pStyle w:val="ListParagraph"/>
              <w:rPr>
                <w:rFonts w:ascii="Times New Roman" w:hAnsi="Times New Roman"/>
              </w:rPr>
            </w:pPr>
          </w:p>
          <w:p w14:paraId="728D8C54" w14:textId="65962011"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1 (includes </w:t>
            </w:r>
            <w:proofErr w:type="spellStart"/>
            <w:r w:rsidRPr="00F850DF">
              <w:rPr>
                <w:rFonts w:ascii="Times New Roman" w:hAnsi="Times New Roman"/>
              </w:rPr>
              <w:t>CellGroupConfig</w:t>
            </w:r>
            <w:proofErr w:type="spellEnd"/>
            <w:r w:rsidRPr="00F850DF">
              <w:rPr>
                <w:rFonts w:ascii="Times New Roman" w:hAnsi="Times New Roman"/>
              </w:rPr>
              <w:t>)</w:t>
            </w:r>
          </w:p>
          <w:p w14:paraId="3B4D6A07" w14:textId="77777777" w:rsidR="00B27ECB" w:rsidRPr="00F850DF" w:rsidRDefault="00B27ECB" w:rsidP="00B27ECB">
            <w:pPr>
              <w:pStyle w:val="ListParagraph"/>
              <w:numPr>
                <w:ilvl w:val="0"/>
                <w:numId w:val="21"/>
              </w:numPr>
              <w:ind w:left="1080"/>
              <w:rPr>
                <w:rFonts w:ascii="Times New Roman" w:hAnsi="Times New Roman"/>
              </w:rPr>
            </w:pPr>
            <w:r w:rsidRPr="00F850DF">
              <w:rPr>
                <w:rFonts w:ascii="Times New Roman" w:hAnsi="Times New Roman"/>
              </w:rPr>
              <w:t xml:space="preserve">Cell 1 – </w:t>
            </w:r>
            <w:proofErr w:type="spellStart"/>
            <w:r w:rsidRPr="00F850DF">
              <w:rPr>
                <w:rFonts w:ascii="Times New Roman" w:hAnsi="Times New Roman"/>
              </w:rPr>
              <w:t>SpCellConfig</w:t>
            </w:r>
            <w:proofErr w:type="spellEnd"/>
            <w:r w:rsidRPr="00F850DF">
              <w:rPr>
                <w:rFonts w:ascii="Times New Roman" w:hAnsi="Times New Roman"/>
              </w:rPr>
              <w:t xml:space="preserve">, </w:t>
            </w:r>
            <w:proofErr w:type="spellStart"/>
            <w:r w:rsidRPr="00F850DF">
              <w:rPr>
                <w:rFonts w:ascii="Times New Roman" w:hAnsi="Times New Roman"/>
              </w:rPr>
              <w:t>SCellConfig</w:t>
            </w:r>
            <w:proofErr w:type="spellEnd"/>
          </w:p>
          <w:p w14:paraId="23E95D98" w14:textId="77777777" w:rsidR="00B27ECB" w:rsidRPr="00F850DF" w:rsidRDefault="00B27ECB" w:rsidP="00B27ECB">
            <w:pPr>
              <w:pStyle w:val="ListParagraph"/>
              <w:numPr>
                <w:ilvl w:val="0"/>
                <w:numId w:val="21"/>
              </w:numPr>
              <w:ind w:left="1080"/>
              <w:rPr>
                <w:rFonts w:ascii="Times New Roman" w:hAnsi="Times New Roman"/>
              </w:rPr>
            </w:pPr>
            <w:r w:rsidRPr="00F850DF">
              <w:rPr>
                <w:rFonts w:ascii="Times New Roman" w:hAnsi="Times New Roman"/>
              </w:rPr>
              <w:t xml:space="preserve">Cell 2 – </w:t>
            </w:r>
            <w:proofErr w:type="spellStart"/>
            <w:r w:rsidRPr="00F850DF">
              <w:rPr>
                <w:rFonts w:ascii="Times New Roman" w:hAnsi="Times New Roman"/>
              </w:rPr>
              <w:t>SpCellConfig</w:t>
            </w:r>
            <w:proofErr w:type="spellEnd"/>
            <w:r w:rsidRPr="00F850DF">
              <w:rPr>
                <w:rFonts w:ascii="Times New Roman" w:hAnsi="Times New Roman"/>
              </w:rPr>
              <w:t xml:space="preserve">, </w:t>
            </w:r>
            <w:proofErr w:type="spellStart"/>
            <w:r w:rsidRPr="00F850DF">
              <w:rPr>
                <w:rFonts w:ascii="Times New Roman" w:hAnsi="Times New Roman"/>
              </w:rPr>
              <w:t>SCellConfig</w:t>
            </w:r>
            <w:proofErr w:type="spellEnd"/>
          </w:p>
          <w:p w14:paraId="4AB85BE5" w14:textId="77777777" w:rsidR="00B27ECB" w:rsidRPr="00F850DF" w:rsidRDefault="00B27ECB" w:rsidP="00B27ECB">
            <w:pPr>
              <w:pStyle w:val="ListParagraph"/>
              <w:numPr>
                <w:ilvl w:val="0"/>
                <w:numId w:val="21"/>
              </w:numPr>
              <w:ind w:left="1080"/>
              <w:rPr>
                <w:rFonts w:ascii="Times New Roman" w:hAnsi="Times New Roman"/>
              </w:rPr>
            </w:pPr>
            <w:r w:rsidRPr="00F850DF">
              <w:rPr>
                <w:rFonts w:ascii="Times New Roman" w:hAnsi="Times New Roman"/>
              </w:rPr>
              <w:t xml:space="preserve">Cell 3 – </w:t>
            </w:r>
            <w:proofErr w:type="spellStart"/>
            <w:r w:rsidRPr="00F850DF">
              <w:rPr>
                <w:rFonts w:ascii="Times New Roman" w:hAnsi="Times New Roman"/>
              </w:rPr>
              <w:t>SpCellConfig</w:t>
            </w:r>
            <w:proofErr w:type="spellEnd"/>
            <w:r w:rsidRPr="00F850DF">
              <w:rPr>
                <w:rFonts w:ascii="Times New Roman" w:hAnsi="Times New Roman"/>
              </w:rPr>
              <w:t xml:space="preserve">, </w:t>
            </w:r>
            <w:proofErr w:type="spellStart"/>
            <w:r w:rsidRPr="00F850DF">
              <w:rPr>
                <w:rFonts w:ascii="Times New Roman" w:hAnsi="Times New Roman"/>
              </w:rPr>
              <w:t>SCellConfig</w:t>
            </w:r>
            <w:proofErr w:type="spellEnd"/>
          </w:p>
          <w:p w14:paraId="3468AB7E" w14:textId="77777777" w:rsidR="00B27ECB" w:rsidRDefault="00B27ECB" w:rsidP="0071755F"/>
        </w:tc>
      </w:tr>
    </w:tbl>
    <w:p w14:paraId="4974F863" w14:textId="77777777" w:rsidR="00B27ECB" w:rsidRPr="00F850DF" w:rsidRDefault="00B27ECB" w:rsidP="0071755F"/>
    <w:p w14:paraId="185BEEB2" w14:textId="47519E03" w:rsidR="0071755F" w:rsidRDefault="0071755F" w:rsidP="0071755F"/>
    <w:p w14:paraId="2127B34E" w14:textId="0B3BFAE9" w:rsidR="0071755F" w:rsidRDefault="0071755F" w:rsidP="0071755F">
      <w:r>
        <w:t xml:space="preserve">This way, the configuration </w:t>
      </w:r>
      <w:r w:rsidR="008C3D01">
        <w:t>may</w:t>
      </w:r>
      <w:r>
        <w:t xml:space="preserve"> be more compact</w:t>
      </w:r>
      <w:r w:rsidR="008C3D01">
        <w:t xml:space="preserve"> and would better support both intra-DU and inter-DU handover</w:t>
      </w:r>
      <w:r>
        <w:t xml:space="preserve">. The L1/2 trigger would </w:t>
      </w:r>
      <w:r w:rsidR="008C3D01">
        <w:t xml:space="preserve">need to </w:t>
      </w:r>
      <w:r>
        <w:t>indicate the configuration to apply,</w:t>
      </w:r>
      <w:r w:rsidR="008C3D01">
        <w:t xml:space="preserve"> as well as</w:t>
      </w:r>
      <w:r>
        <w:t xml:space="preserve"> the </w:t>
      </w:r>
      <w:proofErr w:type="spellStart"/>
      <w:r>
        <w:t>SpCell</w:t>
      </w:r>
      <w:proofErr w:type="spellEnd"/>
      <w:r>
        <w:t xml:space="preserve">, and the active </w:t>
      </w:r>
      <w:proofErr w:type="spellStart"/>
      <w:r>
        <w:t>SCells</w:t>
      </w:r>
      <w:proofErr w:type="spellEnd"/>
      <w:r>
        <w:t xml:space="preserve">. </w:t>
      </w:r>
      <w:r w:rsidR="008C3D01">
        <w:t xml:space="preserve">This could </w:t>
      </w:r>
      <w:r w:rsidR="008C3D01">
        <w:lastRenderedPageBreak/>
        <w:t xml:space="preserve">also be used to differentiate between an inter-DU handover (in which case the whole configuration including </w:t>
      </w:r>
      <w:proofErr w:type="spellStart"/>
      <w:r w:rsidR="008C3D01">
        <w:t>CellGroupConfig</w:t>
      </w:r>
      <w:proofErr w:type="spellEnd"/>
      <w:r w:rsidR="008C3D01">
        <w:t xml:space="preserve"> would be changed) or an intra-DU handover (in which case only the </w:t>
      </w:r>
      <w:proofErr w:type="spellStart"/>
      <w:r w:rsidR="008C3D01">
        <w:t>SpCellConfig</w:t>
      </w:r>
      <w:proofErr w:type="spellEnd"/>
      <w:r w:rsidR="008C3D01">
        <w:t xml:space="preserve"> and/or </w:t>
      </w:r>
      <w:proofErr w:type="spellStart"/>
      <w:r w:rsidR="008C3D01">
        <w:t>SCellConfigs</w:t>
      </w:r>
      <w:proofErr w:type="spellEnd"/>
      <w:r w:rsidR="008C3D01">
        <w:t xml:space="preserve"> would change). </w:t>
      </w:r>
      <w:r w:rsidR="00360D20">
        <w:t xml:space="preserve">More details of the L1/2 triggers for these options are provided in </w:t>
      </w:r>
      <w:r w:rsidR="00360D20">
        <w:fldChar w:fldCharType="begin"/>
      </w:r>
      <w:r w:rsidR="00360D20">
        <w:instrText xml:space="preserve"> REF _Ref115370410 \r \h </w:instrText>
      </w:r>
      <w:r w:rsidR="00360D20">
        <w:fldChar w:fldCharType="separate"/>
      </w:r>
      <w:r w:rsidR="00360D20">
        <w:t>[4]</w:t>
      </w:r>
      <w:r w:rsidR="00360D20">
        <w:fldChar w:fldCharType="end"/>
      </w:r>
      <w:r w:rsidR="00360D20">
        <w:t>.</w:t>
      </w:r>
    </w:p>
    <w:p w14:paraId="06BB9EAC" w14:textId="28DBB5B6" w:rsidR="008C3D01" w:rsidRDefault="008C3D01" w:rsidP="0071755F"/>
    <w:p w14:paraId="187BB24D" w14:textId="77777777" w:rsidR="00305900" w:rsidRDefault="00305900" w:rsidP="00305900">
      <w:pPr>
        <w:rPr>
          <w:b/>
          <w:bCs/>
        </w:rPr>
      </w:pPr>
      <w:r w:rsidRPr="00D81125">
        <w:rPr>
          <w:b/>
          <w:bCs/>
        </w:rPr>
        <w:t xml:space="preserve">Proposal </w:t>
      </w:r>
      <w:r>
        <w:rPr>
          <w:b/>
          <w:bCs/>
        </w:rPr>
        <w:t xml:space="preserve">4: RAN2 to discuss whether a complete target configuration needs to be provided for every single target </w:t>
      </w:r>
      <w:proofErr w:type="spellStart"/>
      <w:r>
        <w:rPr>
          <w:b/>
          <w:bCs/>
        </w:rPr>
        <w:t>SpCell</w:t>
      </w:r>
      <w:proofErr w:type="spellEnd"/>
      <w:r>
        <w:rPr>
          <w:b/>
          <w:bCs/>
        </w:rPr>
        <w:t xml:space="preserve"> (Option A), or whether a target configuration can support multiple potential </w:t>
      </w:r>
      <w:proofErr w:type="spellStart"/>
      <w:r>
        <w:rPr>
          <w:b/>
          <w:bCs/>
        </w:rPr>
        <w:t>SpCells</w:t>
      </w:r>
      <w:proofErr w:type="spellEnd"/>
      <w:r>
        <w:rPr>
          <w:b/>
          <w:bCs/>
        </w:rPr>
        <w:t xml:space="preserve"> (Option B)</w:t>
      </w:r>
    </w:p>
    <w:p w14:paraId="0FD6C5E9" w14:textId="77777777" w:rsidR="008C3D01" w:rsidRDefault="008C3D01" w:rsidP="0071755F"/>
    <w:p w14:paraId="35E772DE" w14:textId="0B4E0940" w:rsidR="007C15F3" w:rsidRDefault="0071755F" w:rsidP="0071755F">
      <w:pPr>
        <w:ind w:left="360"/>
      </w:pPr>
      <w:r>
        <w:t xml:space="preserve"> </w:t>
      </w:r>
    </w:p>
    <w:p w14:paraId="712CA483" w14:textId="187E0736" w:rsidR="00EB7421" w:rsidRDefault="00EB7421" w:rsidP="00EB7421">
      <w:r>
        <w:t>It was further suggested in the previous meeting, that it may be more straightforward to support a single hop (one handover), but multiple hops (multiple subsequent handovers without an RRC Reconfiguration) could be more challenging in terms of network preparation and configuration overhead and complexity. For the case of only one handover, then each candidate can be provided either as full configuration or as a delta configuration compared to the current cell, the same as legacy handover mechanisms.</w:t>
      </w:r>
    </w:p>
    <w:p w14:paraId="58B0169F" w14:textId="77777777" w:rsidR="00EB7421" w:rsidRDefault="00EB7421" w:rsidP="00EB7421"/>
    <w:p w14:paraId="7660B44A" w14:textId="77777777" w:rsidR="00EB7421" w:rsidRDefault="00EB7421" w:rsidP="00EB7421">
      <w:r>
        <w:t xml:space="preserve">If only one handover is supported, however, then any candidate configurations should be released upon handover and a new RRC Reconfiguration would be needed to set up the subsequent ones. This goes against the intention of the work item, because needing to perform RRC reconfiguration before every subsequent handover may not improve latency enough, particularly in FR2 and small cell scenario where handovers could be frequent. </w:t>
      </w:r>
    </w:p>
    <w:p w14:paraId="76F1759D" w14:textId="77777777" w:rsidR="00EB7421" w:rsidRDefault="00EB7421" w:rsidP="00EB7421"/>
    <w:p w14:paraId="2839F642" w14:textId="77777777" w:rsidR="00EB7421" w:rsidRPr="00A061B1" w:rsidRDefault="00EB7421" w:rsidP="00EB7421">
      <w:pPr>
        <w:pStyle w:val="B4"/>
        <w:ind w:left="0" w:firstLine="0"/>
        <w:rPr>
          <w:b/>
          <w:bCs/>
        </w:rPr>
      </w:pPr>
      <w:r>
        <w:rPr>
          <w:b/>
          <w:bCs/>
        </w:rPr>
        <w:t>observation</w:t>
      </w:r>
      <w:r w:rsidRPr="00A061B1">
        <w:rPr>
          <w:b/>
          <w:bCs/>
        </w:rPr>
        <w:t>: If multiple hops are not supported, then each candidate configuration is a delta compared to the source cell configuration (same as legacy)</w:t>
      </w:r>
      <w:r>
        <w:rPr>
          <w:b/>
          <w:bCs/>
        </w:rPr>
        <w:t>. RRC Reconfiguration would be needed after every handover to set up the next L1/2 candidate(s).</w:t>
      </w:r>
    </w:p>
    <w:p w14:paraId="52A8FCF2" w14:textId="77C3CB1A" w:rsidR="00EB7421" w:rsidRDefault="00EB7421" w:rsidP="00EB7421">
      <w:pPr>
        <w:rPr>
          <w:b/>
          <w:bCs/>
        </w:rPr>
      </w:pPr>
      <w:r>
        <w:rPr>
          <w:b/>
          <w:bCs/>
        </w:rPr>
        <w:t xml:space="preserve">Proposal </w:t>
      </w:r>
      <w:r w:rsidR="00360D20">
        <w:rPr>
          <w:b/>
          <w:bCs/>
        </w:rPr>
        <w:t>5</w:t>
      </w:r>
      <w:r>
        <w:rPr>
          <w:b/>
          <w:bCs/>
        </w:rPr>
        <w:t>: The solution should be designed to support multiple hops without releasing configured candidates and requiring a new RRC Reconfiguration to set up candidates again after every handover (e.g. then UE maintains the list of candidate cells until explicitly released).</w:t>
      </w:r>
    </w:p>
    <w:p w14:paraId="37FCA7E1" w14:textId="77777777" w:rsidR="00EB7421" w:rsidRDefault="00EB7421" w:rsidP="00EB7421"/>
    <w:p w14:paraId="72C14604" w14:textId="77777777" w:rsidR="00EB7421" w:rsidRDefault="00EB7421" w:rsidP="00EB7421">
      <w:r>
        <w:t xml:space="preserve">If multiple hops are supported, then the delta configuration aspect becomes a bit more complicated. To support delta configuration after multiple “hops” (i.e. cell handover across multiple pre-configured cells) the delta configuration for the target should also depend on the delta configuration of the source. One possibility would be that every target cell is configured with a delta configuration based on the original cell (the cell providing the pre-configuration) or on a reference configuration. For example, the UE may be configured with </w:t>
      </w:r>
      <w:proofErr w:type="spellStart"/>
      <w:r>
        <w:t>baseline_config</w:t>
      </w:r>
      <w:proofErr w:type="spellEnd"/>
      <w:r>
        <w:t xml:space="preserve"> when the </w:t>
      </w:r>
      <w:proofErr w:type="spellStart"/>
      <w:r>
        <w:t>PCell</w:t>
      </w:r>
      <w:proofErr w:type="spellEnd"/>
      <w:r>
        <w:t xml:space="preserve"> is cell1, and </w:t>
      </w:r>
      <w:proofErr w:type="spellStart"/>
      <w:r>
        <w:t>configA</w:t>
      </w:r>
      <w:proofErr w:type="spellEnd"/>
      <w:r>
        <w:t xml:space="preserve"> for candidate </w:t>
      </w:r>
      <w:proofErr w:type="spellStart"/>
      <w:r>
        <w:t>cellA</w:t>
      </w:r>
      <w:proofErr w:type="spellEnd"/>
      <w:r>
        <w:t xml:space="preserve">, which is a delta configuration  from </w:t>
      </w:r>
      <w:proofErr w:type="spellStart"/>
      <w:r>
        <w:t>baseline_config</w:t>
      </w:r>
      <w:proofErr w:type="spellEnd"/>
      <w:r>
        <w:t xml:space="preserve">, and </w:t>
      </w:r>
      <w:proofErr w:type="spellStart"/>
      <w:r>
        <w:t>configB</w:t>
      </w:r>
      <w:proofErr w:type="spellEnd"/>
      <w:r>
        <w:t xml:space="preserve"> for </w:t>
      </w:r>
      <w:proofErr w:type="spellStart"/>
      <w:r>
        <w:t>cellB</w:t>
      </w:r>
      <w:proofErr w:type="spellEnd"/>
      <w:r>
        <w:t xml:space="preserve">, which is also a delta configuration from </w:t>
      </w:r>
      <w:proofErr w:type="spellStart"/>
      <w:r>
        <w:t>baseline_config</w:t>
      </w:r>
      <w:proofErr w:type="spellEnd"/>
      <w:r>
        <w:t xml:space="preserve">. When the </w:t>
      </w:r>
      <w:proofErr w:type="spellStart"/>
      <w:r>
        <w:t>PCell</w:t>
      </w:r>
      <w:proofErr w:type="spellEnd"/>
      <w:r>
        <w:t xml:space="preserve"> changes to </w:t>
      </w:r>
      <w:proofErr w:type="spellStart"/>
      <w:r>
        <w:t>cellA</w:t>
      </w:r>
      <w:proofErr w:type="spellEnd"/>
      <w:r>
        <w:t xml:space="preserve">, the UE applies </w:t>
      </w:r>
      <w:proofErr w:type="spellStart"/>
      <w:r>
        <w:t>configA</w:t>
      </w:r>
      <w:proofErr w:type="spellEnd"/>
      <w:r>
        <w:t xml:space="preserve">. However, if the UE then have to change the </w:t>
      </w:r>
      <w:proofErr w:type="spellStart"/>
      <w:r>
        <w:t>PCell</w:t>
      </w:r>
      <w:proofErr w:type="spellEnd"/>
      <w:r>
        <w:t xml:space="preserve"> to </w:t>
      </w:r>
      <w:proofErr w:type="spellStart"/>
      <w:r>
        <w:t>cellB</w:t>
      </w:r>
      <w:proofErr w:type="spellEnd"/>
      <w:r>
        <w:t xml:space="preserve">, </w:t>
      </w:r>
      <w:proofErr w:type="spellStart"/>
      <w:r>
        <w:t>configB</w:t>
      </w:r>
      <w:proofErr w:type="spellEnd"/>
      <w:r>
        <w:t xml:space="preserve"> </w:t>
      </w:r>
      <w:proofErr w:type="spellStart"/>
      <w:r>
        <w:t>can not</w:t>
      </w:r>
      <w:proofErr w:type="spellEnd"/>
      <w:r>
        <w:t xml:space="preserve"> be directly applied. Thus, the UE has to revert to the </w:t>
      </w:r>
      <w:proofErr w:type="spellStart"/>
      <w:r>
        <w:t>baseline_configuration</w:t>
      </w:r>
      <w:proofErr w:type="spellEnd"/>
      <w:r>
        <w:t xml:space="preserve"> (i.e., a full configuration) followed by the delta configuration </w:t>
      </w:r>
      <w:proofErr w:type="spellStart"/>
      <w:r>
        <w:t>configB</w:t>
      </w:r>
      <w:proofErr w:type="spellEnd"/>
      <w:r>
        <w:t xml:space="preserve">. </w:t>
      </w:r>
    </w:p>
    <w:p w14:paraId="7BA7FB24" w14:textId="77777777" w:rsidR="00EB7421" w:rsidRDefault="00EB7421" w:rsidP="00EB7421"/>
    <w:p w14:paraId="765A7F4C" w14:textId="77777777" w:rsidR="00EB7421" w:rsidRDefault="00EB7421" w:rsidP="00EB7421">
      <w:r>
        <w:t>When a UE does a full configuration, it releases all current dedicated radio configuration except for the MCG C-RNTI, AS security configuration and radio bearer (signalling and data), and logged measurements (the following (TS 38.331, section 5.3.3.11). This has several undesirable implications like the loss of any buffered data (waiting first transmission or re-transmission) at RLC/MAC level, which will cause data transmission interruption and may also lead to data loss (e.g., if the discard timer has expired for a packet at PDCP level).  That is one of the reasons that full configuration is rarely used (in addition to signalling overhead), mostly only on RRC re-establishments where the UE has to restart the connection from scratch after a failure such as a Radio Link Failure (RLF) or during connection resumption from INACTIVE state in the scenario where the target node/cell where the UE is resuming the connection has some incompatibility with the source node/cell where the UE was sent to the INACTIVE state.</w:t>
      </w:r>
    </w:p>
    <w:p w14:paraId="08D2841E" w14:textId="77777777" w:rsidR="00EB7421" w:rsidRDefault="00EB7421" w:rsidP="00EB7421"/>
    <w:p w14:paraId="0F232FF8" w14:textId="77777777" w:rsidR="00EB7421" w:rsidRDefault="00EB7421" w:rsidP="00EB7421">
      <w:r w:rsidRPr="00DC16B0">
        <w:t xml:space="preserve">In addition, </w:t>
      </w:r>
      <w:r>
        <w:t>it</w:t>
      </w:r>
      <w:r w:rsidRPr="00DC16B0">
        <w:t xml:space="preserve"> has been agreed in </w:t>
      </w:r>
      <w:r>
        <w:t xml:space="preserve">the previous meeting that it is assumed </w:t>
      </w:r>
      <w:r w:rsidRPr="00DC16B0">
        <w:t xml:space="preserve">that L2 is continued whenever possible (e.g. intra-DU), without Reset, with the target to avoid data loss, and the additional delay of data recovery. What this means is, at least for the intra-DU case, the RLC/PDCP and MAC reset may not be necessary. For the intra-DU case, there is no reason to reset the MAC (as is done with conventional L3 handover in order to cover all cases) if the MAC configuration is identical for both cells since the MAC resides in the DU part of the network. </w:t>
      </w:r>
    </w:p>
    <w:p w14:paraId="53F3F1FE" w14:textId="77777777" w:rsidR="00EB7421" w:rsidRDefault="00EB7421" w:rsidP="00EB7421"/>
    <w:p w14:paraId="50978041" w14:textId="21A1A120" w:rsidR="00EB7421" w:rsidRDefault="00EB7421" w:rsidP="00EB7421">
      <w:r>
        <w:t>Based on the above, it would be better if the UE is able to compare source and target configurations without having to revert to a baseline (full) configuration to apply a new candidate cell delta configuration</w:t>
      </w:r>
      <w:r w:rsidR="00605189">
        <w:t xml:space="preserve">, regardless of whether we follow option A or B as described above. </w:t>
      </w:r>
      <w:r>
        <w:t>If proposal 2 is agreed, and multiple candidate cells can share common configurations (for the parts that are the same) then it also becomes possible to compare what the difference between candidate cells is, even after handover from the original cell/baseline configuration, and then apply the relevant delta configurations and execute the relevant procedures. For example, if a handover is performed from cell 1 -&gt; cell 2 -&gt; cell 3, and if cells 2 and 3 use the same/common MAC configuration, then the UE does not need to perform MAC reset or apply a different MAC configuration when moving from cell 2 to cell 3.</w:t>
      </w:r>
    </w:p>
    <w:p w14:paraId="5F20156D" w14:textId="77777777" w:rsidR="00EB7421" w:rsidRDefault="00EB7421" w:rsidP="00EB7421"/>
    <w:p w14:paraId="6CE2F24D" w14:textId="7B9894CB" w:rsidR="00EB7421" w:rsidRPr="00065A55" w:rsidRDefault="00EB7421" w:rsidP="00EB7421">
      <w:pPr>
        <w:rPr>
          <w:b/>
          <w:bCs/>
        </w:rPr>
      </w:pPr>
      <w:r w:rsidRPr="00065A55">
        <w:rPr>
          <w:b/>
          <w:bCs/>
        </w:rPr>
        <w:lastRenderedPageBreak/>
        <w:t xml:space="preserve">Proposal </w:t>
      </w:r>
      <w:r w:rsidR="00360D20">
        <w:rPr>
          <w:b/>
          <w:bCs/>
        </w:rPr>
        <w:t>6</w:t>
      </w:r>
      <w:r w:rsidRPr="00065A55">
        <w:rPr>
          <w:b/>
          <w:bCs/>
        </w:rPr>
        <w:t xml:space="preserve">: If multiple hops are supported then </w:t>
      </w:r>
      <w:r>
        <w:rPr>
          <w:b/>
          <w:bCs/>
        </w:rPr>
        <w:t xml:space="preserve">a solution is needed for </w:t>
      </w:r>
      <w:r w:rsidRPr="00065A55">
        <w:rPr>
          <w:b/>
          <w:bCs/>
        </w:rPr>
        <w:t xml:space="preserve">the UE to compare the source and target configurations in order to apply the delta configuration and determine which procedures to perform. For example, if source and target share a common MAC configuration then this </w:t>
      </w:r>
      <w:r w:rsidR="00360D20">
        <w:rPr>
          <w:b/>
          <w:bCs/>
        </w:rPr>
        <w:t>c</w:t>
      </w:r>
      <w:r w:rsidRPr="00065A55">
        <w:rPr>
          <w:b/>
          <w:bCs/>
        </w:rPr>
        <w:t xml:space="preserve">ould imply these cells belong the same DU and hence no MAC reset needs to be performed. </w:t>
      </w:r>
    </w:p>
    <w:p w14:paraId="59766FE7" w14:textId="77777777" w:rsidR="00EB7421" w:rsidRPr="007C6936" w:rsidRDefault="00EB7421" w:rsidP="00EB7421">
      <w:pPr>
        <w:rPr>
          <w:b/>
          <w:bCs/>
        </w:rPr>
      </w:pPr>
    </w:p>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77777777" w:rsidR="00EB7421" w:rsidRPr="004B1631" w:rsidRDefault="00EB7421" w:rsidP="00EB7421">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1DE6A0B5" w14:textId="77777777" w:rsidR="00EB7421" w:rsidRPr="008D1D74" w:rsidRDefault="00EB7421" w:rsidP="00EB7421">
      <w:pPr>
        <w:rPr>
          <w:b/>
          <w:bCs/>
        </w:rPr>
      </w:pPr>
    </w:p>
    <w:p w14:paraId="33AFEECF" w14:textId="77777777" w:rsidR="00EB7421" w:rsidRDefault="00EB7421" w:rsidP="00EB7421"/>
    <w:p w14:paraId="21A7D3DB" w14:textId="77777777" w:rsidR="00EE4238" w:rsidRDefault="00EE4238" w:rsidP="00EE4238">
      <w:pPr>
        <w:rPr>
          <w:b/>
          <w:bCs/>
        </w:rPr>
      </w:pPr>
      <w:r w:rsidRPr="00D92122">
        <w:rPr>
          <w:b/>
          <w:bCs/>
        </w:rPr>
        <w:t xml:space="preserve">Proposal 1: </w:t>
      </w:r>
      <w:r>
        <w:rPr>
          <w:b/>
          <w:bCs/>
        </w:rPr>
        <w:t>Pre-configuration of multiple candidate target configurations will be supported.</w:t>
      </w:r>
    </w:p>
    <w:p w14:paraId="3E773E78" w14:textId="77777777" w:rsidR="00EE4238" w:rsidRDefault="00EE4238" w:rsidP="00EE4238"/>
    <w:p w14:paraId="5D7E9398" w14:textId="57A6F409" w:rsidR="00EE4238" w:rsidRDefault="00EE4238" w:rsidP="00EE4238">
      <w:pPr>
        <w:rPr>
          <w:b/>
          <w:bCs/>
        </w:rPr>
      </w:pPr>
      <w:r>
        <w:rPr>
          <w:b/>
          <w:bCs/>
        </w:rPr>
        <w:t xml:space="preserve">Proposal 2: If multiple candidate configurations can be provided, then these may be configured with some common configuration information to minimise overhead. For example, several candidate cells belonging to the same DU could be configured with the same </w:t>
      </w:r>
      <w:proofErr w:type="spellStart"/>
      <w:r w:rsidR="00550EE2">
        <w:rPr>
          <w:b/>
          <w:bCs/>
        </w:rPr>
        <w:t>CellGroupConfig</w:t>
      </w:r>
      <w:proofErr w:type="spellEnd"/>
      <w:r w:rsidR="00550EE2">
        <w:rPr>
          <w:b/>
          <w:bCs/>
        </w:rPr>
        <w:t xml:space="preserve"> </w:t>
      </w:r>
      <w:r>
        <w:rPr>
          <w:b/>
          <w:bCs/>
        </w:rPr>
        <w:t xml:space="preserve">and in this case it is not necessary to repeat the configuration for every </w:t>
      </w:r>
      <w:r w:rsidR="00550EE2">
        <w:rPr>
          <w:b/>
          <w:bCs/>
        </w:rPr>
        <w:t xml:space="preserve">candidate </w:t>
      </w:r>
      <w:r>
        <w:rPr>
          <w:b/>
          <w:bCs/>
        </w:rPr>
        <w:t>cell.</w:t>
      </w:r>
    </w:p>
    <w:p w14:paraId="23AABBD7" w14:textId="77777777" w:rsidR="00EB7421" w:rsidRDefault="00EB7421" w:rsidP="00EB7421"/>
    <w:p w14:paraId="0EE22A46" w14:textId="77777777" w:rsidR="00550EE2" w:rsidRDefault="00550EE2" w:rsidP="00550EE2">
      <w:pPr>
        <w:rPr>
          <w:b/>
          <w:bCs/>
        </w:rPr>
      </w:pPr>
      <w:r w:rsidRPr="00D81125">
        <w:rPr>
          <w:b/>
          <w:bCs/>
        </w:rPr>
        <w:t>Proposal 3</w:t>
      </w:r>
      <w:r>
        <w:rPr>
          <w:b/>
          <w:bCs/>
        </w:rPr>
        <w:t xml:space="preserve">: </w:t>
      </w:r>
      <w:r w:rsidRPr="00D81125">
        <w:rPr>
          <w:b/>
          <w:bCs/>
        </w:rPr>
        <w:t>Clarify models 1 and 2 as follows:</w:t>
      </w:r>
    </w:p>
    <w:p w14:paraId="157C7575" w14:textId="3DFE0F41" w:rsidR="00550EE2" w:rsidRPr="00EB7421" w:rsidRDefault="00550EE2" w:rsidP="00550EE2">
      <w:pPr>
        <w:pStyle w:val="ListParagraph"/>
        <w:numPr>
          <w:ilvl w:val="0"/>
          <w:numId w:val="22"/>
        </w:numPr>
        <w:rPr>
          <w:rFonts w:ascii="Times New Roman" w:hAnsi="Times New Roman"/>
          <w:b/>
          <w:bCs/>
          <w:sz w:val="20"/>
          <w:szCs w:val="20"/>
        </w:rPr>
      </w:pPr>
      <w:r w:rsidRPr="00EB7421">
        <w:rPr>
          <w:rFonts w:ascii="Times New Roman" w:hAnsi="Times New Roman"/>
          <w:b/>
          <w:bCs/>
          <w:sz w:val="20"/>
          <w:szCs w:val="20"/>
        </w:rPr>
        <w:t xml:space="preserve">Model 1: </w:t>
      </w:r>
      <w:r>
        <w:rPr>
          <w:rFonts w:ascii="Times New Roman" w:hAnsi="Times New Roman"/>
          <w:b/>
          <w:bCs/>
          <w:sz w:val="20"/>
          <w:szCs w:val="20"/>
        </w:rPr>
        <w:t>E</w:t>
      </w:r>
      <w:r w:rsidRPr="00EB7421">
        <w:rPr>
          <w:rFonts w:ascii="Times New Roman" w:hAnsi="Times New Roman"/>
          <w:b/>
          <w:bCs/>
          <w:sz w:val="20"/>
          <w:szCs w:val="20"/>
        </w:rPr>
        <w:t>ach candidate target configuration</w:t>
      </w:r>
      <w:r>
        <w:rPr>
          <w:rFonts w:ascii="Times New Roman" w:hAnsi="Times New Roman"/>
          <w:b/>
          <w:bCs/>
          <w:sz w:val="20"/>
          <w:szCs w:val="20"/>
        </w:rPr>
        <w:t xml:space="preserve"> is modelled as a </w:t>
      </w:r>
      <w:proofErr w:type="spellStart"/>
      <w:r w:rsidRPr="00EB7421">
        <w:rPr>
          <w:rFonts w:ascii="Times New Roman" w:hAnsi="Times New Roman"/>
          <w:b/>
          <w:bCs/>
          <w:sz w:val="20"/>
          <w:szCs w:val="20"/>
        </w:rPr>
        <w:t>RRCReconfiguration</w:t>
      </w:r>
      <w:proofErr w:type="spellEnd"/>
      <w:r w:rsidRPr="00EB7421">
        <w:rPr>
          <w:rFonts w:ascii="Times New Roman" w:hAnsi="Times New Roman"/>
          <w:b/>
          <w:bCs/>
          <w:sz w:val="20"/>
          <w:szCs w:val="20"/>
        </w:rPr>
        <w:t xml:space="preserve"> message (or FFS </w:t>
      </w:r>
      <w:proofErr w:type="spellStart"/>
      <w:r w:rsidRPr="00EB7421">
        <w:rPr>
          <w:rFonts w:ascii="Times New Roman" w:hAnsi="Times New Roman"/>
          <w:b/>
          <w:bCs/>
          <w:sz w:val="20"/>
          <w:szCs w:val="20"/>
        </w:rPr>
        <w:t>RRCReconfiguration</w:t>
      </w:r>
      <w:proofErr w:type="spellEnd"/>
      <w:r w:rsidRPr="00EB7421">
        <w:rPr>
          <w:rFonts w:ascii="Times New Roman" w:hAnsi="Times New Roman"/>
          <w:b/>
          <w:bCs/>
          <w:sz w:val="20"/>
          <w:szCs w:val="20"/>
        </w:rPr>
        <w:t xml:space="preserve"> IEs)</w:t>
      </w:r>
      <w:r>
        <w:rPr>
          <w:rFonts w:ascii="Times New Roman" w:hAnsi="Times New Roman"/>
          <w:b/>
          <w:bCs/>
          <w:sz w:val="20"/>
          <w:szCs w:val="20"/>
        </w:rPr>
        <w:t xml:space="preserve">. </w:t>
      </w:r>
    </w:p>
    <w:p w14:paraId="62B2C70E" w14:textId="158582F8" w:rsidR="00550EE2" w:rsidRPr="00B45A0F" w:rsidRDefault="00550EE2" w:rsidP="00550EE2">
      <w:pPr>
        <w:pStyle w:val="ListParagraph"/>
        <w:numPr>
          <w:ilvl w:val="0"/>
          <w:numId w:val="22"/>
        </w:numPr>
      </w:pPr>
      <w:r w:rsidRPr="00B45A0F">
        <w:rPr>
          <w:rFonts w:ascii="Times New Roman" w:hAnsi="Times New Roman"/>
          <w:b/>
          <w:bCs/>
          <w:sz w:val="20"/>
          <w:szCs w:val="20"/>
        </w:rPr>
        <w:t xml:space="preserve">Model 2: </w:t>
      </w:r>
      <w:r>
        <w:rPr>
          <w:rFonts w:ascii="Times New Roman" w:hAnsi="Times New Roman"/>
          <w:b/>
          <w:bCs/>
          <w:sz w:val="20"/>
          <w:szCs w:val="20"/>
        </w:rPr>
        <w:t>Ea</w:t>
      </w:r>
      <w:r w:rsidRPr="00B45A0F">
        <w:rPr>
          <w:rFonts w:ascii="Times New Roman" w:hAnsi="Times New Roman"/>
          <w:b/>
          <w:bCs/>
          <w:sz w:val="20"/>
          <w:szCs w:val="20"/>
        </w:rPr>
        <w:t xml:space="preserve">ch candidate target configuration is modelled as a </w:t>
      </w:r>
      <w:proofErr w:type="spellStart"/>
      <w:r w:rsidRPr="00EB7421">
        <w:rPr>
          <w:rFonts w:ascii="Times New Roman" w:hAnsi="Times New Roman"/>
          <w:b/>
          <w:bCs/>
          <w:sz w:val="20"/>
          <w:szCs w:val="20"/>
        </w:rPr>
        <w:t>CellGroupConfig</w:t>
      </w:r>
      <w:proofErr w:type="spellEnd"/>
      <w:r w:rsidRPr="00EB7421">
        <w:rPr>
          <w:rFonts w:ascii="Times New Roman" w:hAnsi="Times New Roman"/>
          <w:b/>
          <w:bCs/>
          <w:sz w:val="20"/>
          <w:szCs w:val="20"/>
        </w:rPr>
        <w:t xml:space="preserve"> IE (FFS additional IEs)</w:t>
      </w:r>
      <w:r>
        <w:rPr>
          <w:rFonts w:ascii="Times New Roman" w:hAnsi="Times New Roman"/>
          <w:b/>
          <w:bCs/>
          <w:sz w:val="20"/>
          <w:szCs w:val="20"/>
        </w:rPr>
        <w:t xml:space="preserve">. </w:t>
      </w:r>
    </w:p>
    <w:p w14:paraId="0CD31446" w14:textId="77777777" w:rsidR="00EB7421" w:rsidRDefault="00EB7421" w:rsidP="00EB7421"/>
    <w:p w14:paraId="18BD80BF" w14:textId="77777777" w:rsidR="00EB7421" w:rsidRPr="00A061B1" w:rsidRDefault="00EB7421" w:rsidP="00EB7421">
      <w:pPr>
        <w:pStyle w:val="B4"/>
        <w:ind w:left="0" w:firstLine="0"/>
        <w:rPr>
          <w:b/>
          <w:bCs/>
        </w:rPr>
      </w:pPr>
      <w:r>
        <w:rPr>
          <w:b/>
          <w:bCs/>
        </w:rPr>
        <w:t>observation</w:t>
      </w:r>
      <w:r w:rsidRPr="00A061B1">
        <w:rPr>
          <w:b/>
          <w:bCs/>
        </w:rPr>
        <w:t>: If multiple hops are not supported, then each candidate configuration is a delta compared to the source cell configuration (same as legacy)</w:t>
      </w:r>
      <w:r>
        <w:rPr>
          <w:b/>
          <w:bCs/>
        </w:rPr>
        <w:t>. RRC Reconfiguration would be needed after every handover to set up the next L1/2 candidate(s).</w:t>
      </w:r>
    </w:p>
    <w:p w14:paraId="1044E348" w14:textId="1DBE86D5" w:rsidR="00360D20" w:rsidRDefault="00360D20" w:rsidP="00360D20">
      <w:pPr>
        <w:rPr>
          <w:b/>
          <w:bCs/>
        </w:rPr>
      </w:pPr>
      <w:r w:rsidRPr="00D81125">
        <w:rPr>
          <w:b/>
          <w:bCs/>
        </w:rPr>
        <w:t xml:space="preserve">Proposal </w:t>
      </w:r>
      <w:r>
        <w:rPr>
          <w:b/>
          <w:bCs/>
        </w:rPr>
        <w:t xml:space="preserve">4: RAN2 to discuss whether a complete target configuration needs to be provided for every single target </w:t>
      </w:r>
      <w:proofErr w:type="spellStart"/>
      <w:r>
        <w:rPr>
          <w:b/>
          <w:bCs/>
        </w:rPr>
        <w:t>SpCell</w:t>
      </w:r>
      <w:proofErr w:type="spellEnd"/>
      <w:r>
        <w:rPr>
          <w:b/>
          <w:bCs/>
        </w:rPr>
        <w:t xml:space="preserve"> (Option A), or whether </w:t>
      </w:r>
      <w:r w:rsidR="00305900">
        <w:rPr>
          <w:b/>
          <w:bCs/>
        </w:rPr>
        <w:t>a</w:t>
      </w:r>
      <w:r>
        <w:rPr>
          <w:b/>
          <w:bCs/>
        </w:rPr>
        <w:t xml:space="preserve"> target configuration </w:t>
      </w:r>
      <w:r w:rsidR="00305900">
        <w:rPr>
          <w:b/>
          <w:bCs/>
        </w:rPr>
        <w:t xml:space="preserve">can </w:t>
      </w:r>
      <w:r>
        <w:rPr>
          <w:b/>
          <w:bCs/>
        </w:rPr>
        <w:t xml:space="preserve">support multiple potential </w:t>
      </w:r>
      <w:proofErr w:type="spellStart"/>
      <w:r>
        <w:rPr>
          <w:b/>
          <w:bCs/>
        </w:rPr>
        <w:t>SpCells</w:t>
      </w:r>
      <w:proofErr w:type="spellEnd"/>
      <w:r>
        <w:rPr>
          <w:b/>
          <w:bCs/>
        </w:rPr>
        <w:t xml:space="preserve"> (Option B)</w:t>
      </w:r>
    </w:p>
    <w:p w14:paraId="6CD1E911" w14:textId="77777777" w:rsidR="00360D20" w:rsidRDefault="00360D20" w:rsidP="00EB7421">
      <w:pPr>
        <w:rPr>
          <w:b/>
          <w:bCs/>
        </w:rPr>
      </w:pPr>
    </w:p>
    <w:p w14:paraId="3900E585" w14:textId="7BF72F18" w:rsidR="00EB7421" w:rsidRDefault="00EB7421" w:rsidP="00EB7421">
      <w:pPr>
        <w:rPr>
          <w:b/>
          <w:bCs/>
        </w:rPr>
      </w:pPr>
      <w:r>
        <w:rPr>
          <w:b/>
          <w:bCs/>
        </w:rPr>
        <w:t xml:space="preserve">Proposal </w:t>
      </w:r>
      <w:r w:rsidR="00360D20">
        <w:rPr>
          <w:b/>
          <w:bCs/>
        </w:rPr>
        <w:t>5</w:t>
      </w:r>
      <w:r>
        <w:rPr>
          <w:b/>
          <w:bCs/>
        </w:rPr>
        <w:t>: The solution should be designed to support multiple hops without releasing configured candidates and requiring a new RRC Reconfiguration to set up candidates again after every handover (e.g. then UE maintains the list of candidate cells until explicitly released).</w:t>
      </w:r>
    </w:p>
    <w:p w14:paraId="7271F9C1" w14:textId="77777777" w:rsidR="00EB7421" w:rsidRDefault="00EB7421" w:rsidP="00EB7421"/>
    <w:p w14:paraId="1987442C" w14:textId="5B582C66" w:rsidR="00EB7421" w:rsidRPr="00065A55" w:rsidRDefault="00EB7421" w:rsidP="00EB7421">
      <w:pPr>
        <w:rPr>
          <w:b/>
          <w:bCs/>
        </w:rPr>
      </w:pPr>
      <w:r w:rsidRPr="00065A55">
        <w:rPr>
          <w:b/>
          <w:bCs/>
        </w:rPr>
        <w:t xml:space="preserve">Proposal </w:t>
      </w:r>
      <w:r w:rsidR="00360D20">
        <w:rPr>
          <w:b/>
          <w:bCs/>
        </w:rPr>
        <w:t>6</w:t>
      </w:r>
      <w:r w:rsidRPr="00065A55">
        <w:rPr>
          <w:b/>
          <w:bCs/>
        </w:rPr>
        <w:t xml:space="preserve">: If multiple hops are supported then </w:t>
      </w:r>
      <w:r>
        <w:rPr>
          <w:b/>
          <w:bCs/>
        </w:rPr>
        <w:t xml:space="preserve">a solution is needed for </w:t>
      </w:r>
      <w:r w:rsidRPr="00065A55">
        <w:rPr>
          <w:b/>
          <w:bCs/>
        </w:rPr>
        <w:t xml:space="preserve">the UE to compare the source and target configurations in order to apply the delta configuration and determine which procedures to perform. For example, if source and target share a common MAC configuration then this would imply these cells belong the same DU and hence no MAC reset needs to be performed. </w:t>
      </w: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75335F3C" w14:textId="77777777" w:rsidR="00EB7421"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1"/>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bookmarkStart w:id="2" w:name="_Ref115283108"/>
    <w:p w14:paraId="4ED97682" w14:textId="36535E0E" w:rsidR="00EB7421" w:rsidRDefault="0007684F"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"https://www.3gpp.org/ftp/tsg_ran/WG2_RL2/TSGR2_119bis-e/Docs/R2-2210329.zip"</w:instrText>
      </w:r>
      <w:r>
        <w:rPr>
          <w:rFonts w:eastAsia="Arial Unicode MS"/>
        </w:rPr>
      </w:r>
      <w:r>
        <w:rPr>
          <w:rFonts w:eastAsia="Arial Unicode MS"/>
        </w:rPr>
        <w:fldChar w:fldCharType="separate"/>
      </w:r>
      <w:r>
        <w:rPr>
          <w:rStyle w:val="Hyperlink"/>
          <w:rFonts w:eastAsia="Arial Unicode MS"/>
        </w:rPr>
        <w:t>R2-2210329</w:t>
      </w:r>
      <w:r>
        <w:rPr>
          <w:rFonts w:eastAsia="Arial Unicode MS"/>
        </w:rPr>
        <w:fldChar w:fldCharType="end"/>
      </w:r>
      <w:r w:rsidR="00EB7421">
        <w:rPr>
          <w:rFonts w:eastAsia="Arial Unicode MS"/>
        </w:rPr>
        <w:t>, “</w:t>
      </w:r>
      <w:r w:rsidR="00EB7421" w:rsidRPr="00730E84">
        <w:rPr>
          <w:rFonts w:eastAsia="Arial Unicode MS"/>
        </w:rPr>
        <w:t>[Post119-e][048][</w:t>
      </w:r>
      <w:proofErr w:type="spellStart"/>
      <w:r w:rsidR="00EB7421" w:rsidRPr="00730E84">
        <w:rPr>
          <w:rFonts w:eastAsia="Arial Unicode MS"/>
        </w:rPr>
        <w:t>feMob</w:t>
      </w:r>
      <w:proofErr w:type="spellEnd"/>
      <w:r w:rsidR="00EB7421" w:rsidRPr="00730E84">
        <w:rPr>
          <w:rFonts w:eastAsia="Arial Unicode MS"/>
        </w:rPr>
        <w:t>] Candidate target configurations for L1/L2 mobility</w:t>
      </w:r>
      <w:r w:rsidR="00EB7421">
        <w:rPr>
          <w:rFonts w:eastAsia="Arial Unicode MS"/>
        </w:rPr>
        <w:t>”, Ericsson</w:t>
      </w:r>
      <w:bookmarkEnd w:id="2"/>
    </w:p>
    <w:bookmarkStart w:id="3" w:name="_Ref115370410"/>
    <w:p w14:paraId="4E61C78B" w14:textId="23E46A04" w:rsidR="00360D20" w:rsidRDefault="00360D20"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 xml:space="preserve"> HYPERLINK "https://www.3gpp.org/ftp/tsg_ran/WG2_RL2/TSGR2_119bis-e/Docs/R2-2210194.zip" </w:instrText>
      </w:r>
      <w:r>
        <w:rPr>
          <w:rFonts w:eastAsia="Arial Unicode MS"/>
        </w:rPr>
      </w:r>
      <w:r>
        <w:rPr>
          <w:rFonts w:eastAsia="Arial Unicode MS"/>
        </w:rPr>
        <w:fldChar w:fldCharType="separate"/>
      </w:r>
      <w:r w:rsidRPr="00360D20">
        <w:rPr>
          <w:rStyle w:val="Hyperlink"/>
          <w:rFonts w:eastAsia="Arial Unicode MS"/>
        </w:rPr>
        <w:t>R2-2210194</w:t>
      </w:r>
      <w:r>
        <w:rPr>
          <w:rFonts w:eastAsia="Arial Unicode MS"/>
        </w:rPr>
        <w:fldChar w:fldCharType="end"/>
      </w:r>
      <w:r>
        <w:rPr>
          <w:rFonts w:eastAsia="Arial Unicode MS"/>
        </w:rPr>
        <w:t>, “</w:t>
      </w:r>
      <w:r w:rsidRPr="00360D20">
        <w:rPr>
          <w:rFonts w:eastAsia="Arial Unicode MS"/>
        </w:rPr>
        <w:t>L1/2 handover trigger</w:t>
      </w:r>
      <w:r>
        <w:rPr>
          <w:rFonts w:eastAsia="Arial Unicode MS"/>
        </w:rPr>
        <w:t>”, InterDigital, Inc.</w:t>
      </w:r>
    </w:p>
    <w:bookmarkEnd w:id="3"/>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p w14:paraId="4358CD0D" w14:textId="77777777" w:rsidR="00EB7421" w:rsidRPr="00E06B61" w:rsidRDefault="00EB7421" w:rsidP="00EB7421"/>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9"/>
  </w:num>
  <w:num w:numId="2" w16cid:durableId="1822573651">
    <w:abstractNumId w:val="8"/>
  </w:num>
  <w:num w:numId="3" w16cid:durableId="1293515717">
    <w:abstractNumId w:val="6"/>
  </w:num>
  <w:num w:numId="4" w16cid:durableId="1859391698">
    <w:abstractNumId w:val="14"/>
  </w:num>
  <w:num w:numId="5" w16cid:durableId="642084593">
    <w:abstractNumId w:val="0"/>
  </w:num>
  <w:num w:numId="6" w16cid:durableId="224075879">
    <w:abstractNumId w:val="0"/>
  </w:num>
  <w:num w:numId="7" w16cid:durableId="1432315274">
    <w:abstractNumId w:val="15"/>
  </w:num>
  <w:num w:numId="8" w16cid:durableId="550461415">
    <w:abstractNumId w:val="11"/>
  </w:num>
  <w:num w:numId="9" w16cid:durableId="2113240567">
    <w:abstractNumId w:val="14"/>
  </w:num>
  <w:num w:numId="10" w16cid:durableId="319046138">
    <w:abstractNumId w:val="18"/>
  </w:num>
  <w:num w:numId="11" w16cid:durableId="989089676">
    <w:abstractNumId w:val="12"/>
  </w:num>
  <w:num w:numId="12" w16cid:durableId="3017690">
    <w:abstractNumId w:val="4"/>
  </w:num>
  <w:num w:numId="13" w16cid:durableId="1136416161">
    <w:abstractNumId w:val="7"/>
  </w:num>
  <w:num w:numId="14" w16cid:durableId="1598631832">
    <w:abstractNumId w:val="5"/>
  </w:num>
  <w:num w:numId="15" w16cid:durableId="1873760530">
    <w:abstractNumId w:val="10"/>
  </w:num>
  <w:num w:numId="16" w16cid:durableId="1043483843">
    <w:abstractNumId w:val="3"/>
  </w:num>
  <w:num w:numId="17" w16cid:durableId="2081756601">
    <w:abstractNumId w:val="13"/>
  </w:num>
  <w:num w:numId="18" w16cid:durableId="405349453">
    <w:abstractNumId w:val="2"/>
  </w:num>
  <w:num w:numId="19" w16cid:durableId="1503083248">
    <w:abstractNumId w:val="17"/>
  </w:num>
  <w:num w:numId="20" w16cid:durableId="1899658392">
    <w:abstractNumId w:val="16"/>
  </w:num>
  <w:num w:numId="21" w16cid:durableId="808592287">
    <w:abstractNumId w:val="9"/>
  </w:num>
  <w:num w:numId="22" w16cid:durableId="1359240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A55"/>
    <w:rsid w:val="00065E19"/>
    <w:rsid w:val="00066ACC"/>
    <w:rsid w:val="000746E2"/>
    <w:rsid w:val="0007684F"/>
    <w:rsid w:val="000768DF"/>
    <w:rsid w:val="000770C6"/>
    <w:rsid w:val="000778B1"/>
    <w:rsid w:val="0008007A"/>
    <w:rsid w:val="00084E00"/>
    <w:rsid w:val="00091528"/>
    <w:rsid w:val="00091853"/>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EB6"/>
    <w:rsid w:val="0029699C"/>
    <w:rsid w:val="0029789A"/>
    <w:rsid w:val="002A1775"/>
    <w:rsid w:val="002A1CF9"/>
    <w:rsid w:val="002A21E5"/>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7FE1"/>
    <w:rsid w:val="0030072A"/>
    <w:rsid w:val="00301CD4"/>
    <w:rsid w:val="003030AF"/>
    <w:rsid w:val="003045E4"/>
    <w:rsid w:val="003046A5"/>
    <w:rsid w:val="00305900"/>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2319"/>
    <w:rsid w:val="0059517D"/>
    <w:rsid w:val="00596F34"/>
    <w:rsid w:val="00597B51"/>
    <w:rsid w:val="005A1322"/>
    <w:rsid w:val="005A2EEB"/>
    <w:rsid w:val="005A390D"/>
    <w:rsid w:val="005A63F0"/>
    <w:rsid w:val="005A7E53"/>
    <w:rsid w:val="005B0F7F"/>
    <w:rsid w:val="005B2B9D"/>
    <w:rsid w:val="005B2CC8"/>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DEA"/>
    <w:rsid w:val="006B754B"/>
    <w:rsid w:val="006C1BFB"/>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402D"/>
    <w:rsid w:val="00755B8F"/>
    <w:rsid w:val="007576E4"/>
    <w:rsid w:val="00760697"/>
    <w:rsid w:val="00760AD7"/>
    <w:rsid w:val="0076212D"/>
    <w:rsid w:val="00764013"/>
    <w:rsid w:val="00764C4B"/>
    <w:rsid w:val="007654C9"/>
    <w:rsid w:val="0076610E"/>
    <w:rsid w:val="00771F81"/>
    <w:rsid w:val="007749A1"/>
    <w:rsid w:val="007767B5"/>
    <w:rsid w:val="00777534"/>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45F6"/>
    <w:rsid w:val="007B595E"/>
    <w:rsid w:val="007B5D0C"/>
    <w:rsid w:val="007B78C7"/>
    <w:rsid w:val="007C15F3"/>
    <w:rsid w:val="007C29C5"/>
    <w:rsid w:val="007C31A5"/>
    <w:rsid w:val="007C3CC5"/>
    <w:rsid w:val="007C5187"/>
    <w:rsid w:val="007C571F"/>
    <w:rsid w:val="007C633D"/>
    <w:rsid w:val="007C6936"/>
    <w:rsid w:val="007D070F"/>
    <w:rsid w:val="007D1123"/>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3D01"/>
    <w:rsid w:val="008C4121"/>
    <w:rsid w:val="008C4801"/>
    <w:rsid w:val="008C4945"/>
    <w:rsid w:val="008C7307"/>
    <w:rsid w:val="008C73D5"/>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195C"/>
    <w:rsid w:val="009C2989"/>
    <w:rsid w:val="009C3228"/>
    <w:rsid w:val="009C73DD"/>
    <w:rsid w:val="009D445D"/>
    <w:rsid w:val="009D6E71"/>
    <w:rsid w:val="009E2FCC"/>
    <w:rsid w:val="009F1CEC"/>
    <w:rsid w:val="009F33EE"/>
    <w:rsid w:val="009F6166"/>
    <w:rsid w:val="00A003A5"/>
    <w:rsid w:val="00A0526D"/>
    <w:rsid w:val="00A061B1"/>
    <w:rsid w:val="00A10358"/>
    <w:rsid w:val="00A157A8"/>
    <w:rsid w:val="00A16A31"/>
    <w:rsid w:val="00A20494"/>
    <w:rsid w:val="00A25167"/>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6728"/>
    <w:rsid w:val="00B2050B"/>
    <w:rsid w:val="00B2204F"/>
    <w:rsid w:val="00B2257C"/>
    <w:rsid w:val="00B22950"/>
    <w:rsid w:val="00B24FF2"/>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29B3"/>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BD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2195"/>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C0AF9"/>
    <w:rsid w:val="00DC1200"/>
    <w:rsid w:val="00DC6CE0"/>
    <w:rsid w:val="00DD0210"/>
    <w:rsid w:val="00DD14FF"/>
    <w:rsid w:val="00DD45D2"/>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7BF8"/>
    <w:rsid w:val="00EE03BC"/>
    <w:rsid w:val="00EE12FD"/>
    <w:rsid w:val="00EE2931"/>
    <w:rsid w:val="00EE321B"/>
    <w:rsid w:val="00EE4034"/>
    <w:rsid w:val="00EE4238"/>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0DF"/>
    <w:rsid w:val="00F854AA"/>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182996B9-4FF7-4FA5-9F51-2F1CC9C5AD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6</Pages>
  <Words>3167</Words>
  <Characters>18056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311</cp:revision>
  <dcterms:created xsi:type="dcterms:W3CDTF">2022-02-10T15:51:00Z</dcterms:created>
  <dcterms:modified xsi:type="dcterms:W3CDTF">2022-09-30T08:13:00Z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